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BB33D1" w14:textId="77777777" w:rsidR="001763FE" w:rsidRDefault="00000000">
      <w:pPr>
        <w:pBdr>
          <w:top w:val="nil"/>
          <w:left w:val="nil"/>
          <w:bottom w:val="nil"/>
          <w:right w:val="nil"/>
          <w:between w:val="nil"/>
        </w:pBdr>
        <w:spacing w:after="0" w:line="240" w:lineRule="auto"/>
        <w:rPr>
          <w:color w:val="000000"/>
        </w:rPr>
      </w:pPr>
      <w:r>
        <w:rPr>
          <w:color w:val="000000"/>
        </w:rPr>
        <w:t xml:space="preserve">ANEXO – GLOSARIO </w:t>
      </w:r>
    </w:p>
    <w:p w14:paraId="37BFB6F6" w14:textId="77777777" w:rsidR="001763FE" w:rsidRDefault="001763FE">
      <w:pPr>
        <w:spacing w:after="0" w:line="240" w:lineRule="auto"/>
        <w:jc w:val="both"/>
        <w:rPr>
          <w:rFonts w:ascii="Arial" w:eastAsia="Arial" w:hAnsi="Arial" w:cs="Arial"/>
          <w:sz w:val="20"/>
          <w:szCs w:val="20"/>
        </w:rPr>
      </w:pPr>
    </w:p>
    <w:p w14:paraId="50DAD3A2" w14:textId="77777777" w:rsidR="001763FE"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Para efectos de interpretación del Pliego de Condiciones: </w:t>
      </w:r>
    </w:p>
    <w:p w14:paraId="75F5C6A3" w14:textId="77777777" w:rsidR="001763FE" w:rsidRDefault="00000000">
      <w:pPr>
        <w:spacing w:after="0" w:line="240" w:lineRule="auto"/>
        <w:ind w:left="708" w:hanging="708"/>
        <w:jc w:val="both"/>
        <w:rPr>
          <w:rFonts w:ascii="Arial" w:eastAsia="Arial" w:hAnsi="Arial" w:cs="Arial"/>
          <w:sz w:val="20"/>
          <w:szCs w:val="20"/>
        </w:rPr>
      </w:pPr>
      <w:r>
        <w:rPr>
          <w:rFonts w:ascii="Arial" w:eastAsia="Arial" w:hAnsi="Arial" w:cs="Arial"/>
          <w:sz w:val="20"/>
          <w:szCs w:val="20"/>
        </w:rPr>
        <w:t xml:space="preserve"> </w:t>
      </w:r>
    </w:p>
    <w:p w14:paraId="70D264C8" w14:textId="77777777" w:rsidR="001763FE" w:rsidRDefault="00000000">
      <w:pPr>
        <w:keepNext/>
        <w:keepLines/>
        <w:pBdr>
          <w:bottom w:val="single" w:sz="4" w:space="1" w:color="000000"/>
        </w:pBdr>
        <w:spacing w:after="0" w:line="240" w:lineRule="auto"/>
        <w:ind w:left="360" w:hanging="360"/>
        <w:jc w:val="both"/>
        <w:rPr>
          <w:rFonts w:ascii="Arial" w:eastAsia="Arial" w:hAnsi="Arial" w:cs="Arial"/>
          <w:b/>
          <w:sz w:val="20"/>
          <w:szCs w:val="20"/>
        </w:rPr>
      </w:pPr>
      <w:r>
        <w:rPr>
          <w:rFonts w:ascii="Arial" w:eastAsia="Arial" w:hAnsi="Arial" w:cs="Arial"/>
          <w:b/>
          <w:sz w:val="20"/>
          <w:szCs w:val="20"/>
        </w:rPr>
        <w:t>GLOSARIO GENERAL</w:t>
      </w:r>
    </w:p>
    <w:p w14:paraId="52713960" w14:textId="77777777" w:rsidR="001763FE" w:rsidRDefault="001763FE">
      <w:pPr>
        <w:spacing w:after="0" w:line="240" w:lineRule="auto"/>
        <w:jc w:val="both"/>
        <w:rPr>
          <w:rFonts w:ascii="Arial" w:eastAsia="Arial" w:hAnsi="Arial" w:cs="Arial"/>
          <w:sz w:val="20"/>
          <w:szCs w:val="20"/>
        </w:rPr>
      </w:pPr>
    </w:p>
    <w:p w14:paraId="5CB3074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Aclaraciones y explicaciones:</w:t>
      </w:r>
      <w:r>
        <w:rPr>
          <w:rFonts w:ascii="Arial" w:eastAsia="Arial" w:hAnsi="Arial" w:cs="Arial"/>
          <w:sz w:val="20"/>
          <w:szCs w:val="20"/>
        </w:rPr>
        <w:t xml:space="preserve"> Se remite a las nociones desarrolladas en la sentencia del Consejo de Estado, Sección Tercera, Subsección C, del 12 de noviembre de 2014, Radicado 27.986, Consejero Ponente: Enrique Gil Botero. </w:t>
      </w:r>
    </w:p>
    <w:p w14:paraId="5B2BA5E8" w14:textId="77777777" w:rsidR="001763FE" w:rsidRDefault="001763FE">
      <w:pPr>
        <w:spacing w:after="0" w:line="240" w:lineRule="auto"/>
        <w:ind w:left="709"/>
        <w:jc w:val="both"/>
        <w:rPr>
          <w:rFonts w:ascii="Arial" w:eastAsia="Arial" w:hAnsi="Arial" w:cs="Arial"/>
          <w:sz w:val="20"/>
          <w:szCs w:val="20"/>
        </w:rPr>
      </w:pPr>
    </w:p>
    <w:p w14:paraId="3488911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Acta de Inicio: </w:t>
      </w:r>
      <w:r>
        <w:rPr>
          <w:rFonts w:ascii="Arial" w:eastAsia="Arial" w:hAnsi="Arial" w:cs="Arial"/>
          <w:sz w:val="20"/>
          <w:szCs w:val="20"/>
        </w:rPr>
        <w:t xml:space="preserve">Documento en el que las partes, de común acuerdo, dejan constancia del inicio del plazo contractual. </w:t>
      </w:r>
    </w:p>
    <w:p w14:paraId="76322691" w14:textId="77777777" w:rsidR="001763FE" w:rsidRDefault="001763FE">
      <w:pPr>
        <w:spacing w:after="0" w:line="240" w:lineRule="auto"/>
        <w:ind w:left="709" w:hanging="709"/>
        <w:jc w:val="both"/>
        <w:rPr>
          <w:rFonts w:ascii="Arial" w:eastAsia="Arial" w:hAnsi="Arial" w:cs="Arial"/>
          <w:b/>
          <w:sz w:val="20"/>
          <w:szCs w:val="20"/>
        </w:rPr>
      </w:pPr>
    </w:p>
    <w:p w14:paraId="7CFE905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Activo Corriente:</w:t>
      </w:r>
      <w:r>
        <w:rPr>
          <w:rFonts w:ascii="Arial" w:eastAsia="Arial" w:hAnsi="Arial" w:cs="Arial"/>
          <w:sz w:val="20"/>
          <w:szCs w:val="20"/>
        </w:rPr>
        <w:t xml:space="preserve"> Activo susceptible de convertirse en dinero en efectivo en un período inferior a un año. </w:t>
      </w:r>
    </w:p>
    <w:p w14:paraId="4CF5648D" w14:textId="77777777" w:rsidR="001763FE" w:rsidRDefault="001763FE">
      <w:pPr>
        <w:spacing w:after="0" w:line="240" w:lineRule="auto"/>
        <w:ind w:left="709" w:hanging="709"/>
        <w:jc w:val="both"/>
        <w:rPr>
          <w:rFonts w:ascii="Arial" w:eastAsia="Arial" w:hAnsi="Arial" w:cs="Arial"/>
          <w:b/>
          <w:sz w:val="20"/>
          <w:szCs w:val="20"/>
        </w:rPr>
      </w:pPr>
    </w:p>
    <w:p w14:paraId="7D1F5F8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Activo Total: </w:t>
      </w:r>
      <w:r>
        <w:rPr>
          <w:rFonts w:ascii="Arial" w:eastAsia="Arial" w:hAnsi="Arial" w:cs="Arial"/>
          <w:sz w:val="20"/>
          <w:szCs w:val="20"/>
        </w:rPr>
        <w:t xml:space="preserve">Activos, bienes, derechos y otros recursos controlados económicamente por la persona natural o jurídica, resultantes de sucesos pasados de los que se espera obtener beneficios o rendimientos económicos en el futuro. </w:t>
      </w:r>
    </w:p>
    <w:p w14:paraId="37A14E09" w14:textId="77777777" w:rsidR="001763FE" w:rsidRDefault="001763FE">
      <w:pPr>
        <w:spacing w:after="0" w:line="240" w:lineRule="auto"/>
        <w:ind w:left="709" w:hanging="709"/>
        <w:jc w:val="both"/>
        <w:rPr>
          <w:rFonts w:ascii="Arial" w:eastAsia="Arial" w:hAnsi="Arial" w:cs="Arial"/>
          <w:b/>
          <w:sz w:val="20"/>
          <w:szCs w:val="20"/>
        </w:rPr>
      </w:pPr>
    </w:p>
    <w:p w14:paraId="423B706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Administración Delegada:</w:t>
      </w:r>
      <w:r>
        <w:rPr>
          <w:rFonts w:ascii="Arial" w:eastAsia="Arial" w:hAnsi="Arial" w:cs="Arial"/>
          <w:sz w:val="20"/>
          <w:szCs w:val="20"/>
        </w:rPr>
        <w:t xml:space="preserve"> Forma de pago en contratos como el de obra pública en la que la Entidad Estatal delega la ejecución de la obra en el Contratista en calidad de director técnico, quien la ejecuta por cuenta y riesgo de la Entidad Estatal. El Contratista obtiene como remuneración los honorarios que se pactan por su gestión. El administrador delegado se encarga de ejecutar la obra y responde por su buen resultado, pero es la Entidad Estatal quien asume los Riesgos derivados del Contrato y la financiación de la obra. Los honorarios del Contratista pueden pactarse en forma de porcentaje sobre el valor de la obra o como precio fijo. </w:t>
      </w:r>
    </w:p>
    <w:p w14:paraId="7D533385" w14:textId="77777777" w:rsidR="001763FE" w:rsidRDefault="001763FE">
      <w:pPr>
        <w:spacing w:after="0" w:line="240" w:lineRule="auto"/>
        <w:ind w:left="709" w:hanging="709"/>
        <w:jc w:val="both"/>
        <w:rPr>
          <w:rFonts w:ascii="Arial" w:eastAsia="Arial" w:hAnsi="Arial" w:cs="Arial"/>
          <w:b/>
          <w:sz w:val="20"/>
          <w:szCs w:val="20"/>
        </w:rPr>
      </w:pPr>
    </w:p>
    <w:p w14:paraId="7BEC5FF0"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Análisis del Sector:</w:t>
      </w:r>
      <w:r>
        <w:rPr>
          <w:rFonts w:ascii="Arial" w:eastAsia="Arial" w:hAnsi="Arial" w:cs="Arial"/>
          <w:sz w:val="20"/>
          <w:szCs w:val="20"/>
        </w:rPr>
        <w:t xml:space="preserve"> Estudio que permite conocer el bien o servicio a adquirir en términos de oferta y demanda e identificar el precio más justo a pagar por la satisfacción de la necesidad de la Entidad. Asimismo, por medio de este estudio las Entidades Estatales identifican quién puede proveer el bien o servicio, cómo se desarrolla ese negocio, su cadena de producción y distribución, para saber si el sector tiene la capacidad de proveer el servicio o el bien en las condiciones y cantidades requeridas por la Entidad Estatal.  </w:t>
      </w:r>
    </w:p>
    <w:p w14:paraId="3629664F" w14:textId="77777777" w:rsidR="001763FE" w:rsidRDefault="001763FE">
      <w:pPr>
        <w:spacing w:after="0" w:line="240" w:lineRule="auto"/>
        <w:ind w:left="709"/>
        <w:jc w:val="both"/>
        <w:rPr>
          <w:rFonts w:ascii="Arial" w:eastAsia="Arial" w:hAnsi="Arial" w:cs="Arial"/>
          <w:b/>
          <w:sz w:val="20"/>
          <w:szCs w:val="20"/>
        </w:rPr>
      </w:pPr>
    </w:p>
    <w:p w14:paraId="6D46C2BB"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t>Este estudio debe realizarse desde la perspectiva legal, comercial, financiera, organizacional, técnica y de análisis de Riesgo.</w:t>
      </w:r>
    </w:p>
    <w:p w14:paraId="4EA97E90" w14:textId="77777777" w:rsidR="001763FE" w:rsidRDefault="001763FE">
      <w:pPr>
        <w:spacing w:after="0" w:line="240" w:lineRule="auto"/>
        <w:ind w:left="709" w:hanging="709"/>
        <w:jc w:val="both"/>
        <w:rPr>
          <w:rFonts w:ascii="Arial" w:eastAsia="Arial" w:hAnsi="Arial" w:cs="Arial"/>
          <w:b/>
          <w:sz w:val="20"/>
          <w:szCs w:val="20"/>
        </w:rPr>
      </w:pPr>
    </w:p>
    <w:p w14:paraId="5769331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Anexo:</w:t>
      </w:r>
      <w:r>
        <w:rPr>
          <w:rFonts w:ascii="Arial" w:eastAsia="Arial" w:hAnsi="Arial" w:cs="Arial"/>
          <w:sz w:val="20"/>
          <w:szCs w:val="20"/>
        </w:rPr>
        <w:t xml:space="preserve"> Documento o conjunto de documentos que la Entidad adjunta al Pliego de Condiciones y que hacen parte integral del mismo.</w:t>
      </w:r>
    </w:p>
    <w:p w14:paraId="79DA4FA6" w14:textId="77777777" w:rsidR="001763FE" w:rsidRDefault="001763FE">
      <w:pPr>
        <w:spacing w:after="0" w:line="240" w:lineRule="auto"/>
        <w:ind w:left="709" w:hanging="709"/>
        <w:jc w:val="both"/>
        <w:rPr>
          <w:rFonts w:ascii="Arial" w:eastAsia="Arial" w:hAnsi="Arial" w:cs="Arial"/>
          <w:b/>
          <w:sz w:val="20"/>
          <w:szCs w:val="20"/>
        </w:rPr>
      </w:pPr>
    </w:p>
    <w:p w14:paraId="472E8007"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Anticipo: </w:t>
      </w:r>
      <w:r>
        <w:rPr>
          <w:rFonts w:ascii="Arial" w:eastAsia="Arial" w:hAnsi="Arial" w:cs="Arial"/>
          <w:sz w:val="20"/>
          <w:szCs w:val="20"/>
        </w:rPr>
        <w:t xml:space="preserve">Préstamo destinado a apalancar el cumplimiento del objeto del Contrato, de modo que los recursos girados por dicho concepto sólo se integran al patrimonio del Contratista en la medida que se cause su amortización mediante la presentación de la cuenta o factura respectiva. </w:t>
      </w:r>
    </w:p>
    <w:p w14:paraId="5DF25599" w14:textId="77777777" w:rsidR="001763FE" w:rsidRDefault="001763FE">
      <w:pPr>
        <w:spacing w:after="0" w:line="240" w:lineRule="auto"/>
        <w:jc w:val="both"/>
        <w:rPr>
          <w:rFonts w:ascii="Arial" w:eastAsia="Arial" w:hAnsi="Arial" w:cs="Arial"/>
          <w:sz w:val="20"/>
          <w:szCs w:val="20"/>
        </w:rPr>
      </w:pPr>
    </w:p>
    <w:p w14:paraId="34CAAC3E"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Almacenamiento:</w:t>
      </w:r>
      <w:r>
        <w:rPr>
          <w:rFonts w:ascii="Arial" w:eastAsia="Arial" w:hAnsi="Arial" w:cs="Arial"/>
          <w:sz w:val="20"/>
          <w:szCs w:val="20"/>
        </w:rPr>
        <w:t xml:space="preserve"> Es el depósito temporal de residuos o desechos peligrosos en un espacio físico definido y por un tiempo determinado con carácter previo a su aprovechamiento y/o valorización, tratamiento y/o disposición final.</w:t>
      </w:r>
    </w:p>
    <w:p w14:paraId="5E3EA24F" w14:textId="77777777" w:rsidR="001763FE" w:rsidRDefault="001763FE">
      <w:pPr>
        <w:spacing w:after="0" w:line="240" w:lineRule="auto"/>
        <w:jc w:val="both"/>
        <w:rPr>
          <w:rFonts w:ascii="Arial" w:eastAsia="Arial" w:hAnsi="Arial" w:cs="Arial"/>
          <w:sz w:val="20"/>
          <w:szCs w:val="20"/>
        </w:rPr>
      </w:pPr>
    </w:p>
    <w:p w14:paraId="23E59E19"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Aportes Legales:</w:t>
      </w:r>
      <w:r>
        <w:rPr>
          <w:rFonts w:ascii="Arial" w:eastAsia="Arial" w:hAnsi="Arial" w:cs="Arial"/>
          <w:sz w:val="20"/>
          <w:szCs w:val="20"/>
        </w:rPr>
        <w:t xml:space="preserve"> Contribuciones parafiscales y gravámenes establecidos con carácter obligatorio por la ley que afectan a un determinado y único grupo social y económico y se utilizan para beneficio del propio sector. El manejo, administración y ejecución de estos </w:t>
      </w:r>
      <w:r>
        <w:rPr>
          <w:rFonts w:ascii="Arial" w:eastAsia="Arial" w:hAnsi="Arial" w:cs="Arial"/>
          <w:sz w:val="20"/>
          <w:szCs w:val="20"/>
        </w:rPr>
        <w:lastRenderedPageBreak/>
        <w:t xml:space="preserve">recursos se hará exclusivamente en la forma dispuesta en la ley que los crea y se destinarán sólo al objeto previsto en ella. </w:t>
      </w:r>
    </w:p>
    <w:p w14:paraId="3AEEE00D" w14:textId="77777777" w:rsidR="001763FE" w:rsidRDefault="001763FE">
      <w:pPr>
        <w:spacing w:after="0" w:line="240" w:lineRule="auto"/>
        <w:ind w:left="709" w:hanging="709"/>
        <w:jc w:val="both"/>
        <w:rPr>
          <w:rFonts w:ascii="Arial" w:eastAsia="Arial" w:hAnsi="Arial" w:cs="Arial"/>
          <w:b/>
          <w:sz w:val="20"/>
          <w:szCs w:val="20"/>
        </w:rPr>
      </w:pPr>
    </w:p>
    <w:p w14:paraId="79162AAF"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Apostilla:</w:t>
      </w:r>
      <w:r>
        <w:rPr>
          <w:rFonts w:ascii="Arial" w:eastAsia="Arial" w:hAnsi="Arial" w:cs="Arial"/>
          <w:sz w:val="20"/>
          <w:szCs w:val="20"/>
        </w:rPr>
        <w:t xml:space="preserve"> Certificación de la autenticidad de la firma de un servidor público en ejercicio de sus funciones y la calidad en que el signatario hubiese actuado, la cual deberá estar registrada ante el Ministerio de Relaciones Exteriores para que el documento surta plenos efectos legales en un país parte del Convenio sobre la Abolición del Requisito de Legalización de los Documentos Públicos Extranjeros, de la Conferencia de la Haya de 1961.</w:t>
      </w:r>
    </w:p>
    <w:p w14:paraId="62708537" w14:textId="77777777" w:rsidR="001763FE" w:rsidRDefault="001763FE">
      <w:pPr>
        <w:spacing w:after="0" w:line="240" w:lineRule="auto"/>
        <w:ind w:left="709" w:hanging="709"/>
        <w:jc w:val="both"/>
        <w:rPr>
          <w:rFonts w:ascii="Arial" w:eastAsia="Arial" w:hAnsi="Arial" w:cs="Arial"/>
          <w:b/>
          <w:sz w:val="20"/>
          <w:szCs w:val="20"/>
        </w:rPr>
      </w:pPr>
    </w:p>
    <w:p w14:paraId="11B382BF"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Beneficiario Real:</w:t>
      </w:r>
      <w:r>
        <w:rPr>
          <w:rFonts w:ascii="Arial" w:eastAsia="Arial" w:hAnsi="Arial" w:cs="Arial"/>
          <w:sz w:val="20"/>
          <w:szCs w:val="20"/>
        </w:rPr>
        <w:t xml:space="preserve"> Cualquier persona o grupo de personas que, directa o indirectamente, por virtud de un contrato, convenio o de cualquier otra manera, tenga respecto de una acción de una sociedad, o pueda llegar a tener, por ser propietario de bonos obligatoriamente convertibles en acciones, capacidad decisoria; esto es, la facultad o el poder de votar en la elección de directivas o representantes y de dirigir, orientar y controlar dicho voto, así como la facultad o el poder de enajenar y ordenar la enajenación o gravamen de la acción.. </w:t>
      </w:r>
    </w:p>
    <w:p w14:paraId="2EABA537" w14:textId="77777777" w:rsidR="001763FE" w:rsidRDefault="001763FE">
      <w:pPr>
        <w:spacing w:after="0" w:line="240" w:lineRule="auto"/>
        <w:ind w:left="709" w:hanging="709"/>
        <w:jc w:val="both"/>
        <w:rPr>
          <w:rFonts w:ascii="Arial" w:eastAsia="Arial" w:hAnsi="Arial" w:cs="Arial"/>
          <w:b/>
          <w:sz w:val="20"/>
          <w:szCs w:val="20"/>
        </w:rPr>
      </w:pPr>
    </w:p>
    <w:p w14:paraId="09EE01EE"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t>Conforman un mismo beneficiario real los cónyuges o compañeros permanentes y los parientes dentro del segundo grado de consanguinidad, segundo de afinidad y único civil, salvo que se demuestre que actúan con intereses económicos independientes, circunstancia que podrá ser declarada mediante la gravedad de juramento ante la Superintendencia Financiera de Colombia con fines exclusivamente probatorios.</w:t>
      </w:r>
    </w:p>
    <w:p w14:paraId="0ACCBDDD" w14:textId="77777777" w:rsidR="001763FE" w:rsidRDefault="001763FE">
      <w:pPr>
        <w:spacing w:after="0" w:line="240" w:lineRule="auto"/>
        <w:ind w:left="709"/>
        <w:jc w:val="both"/>
        <w:rPr>
          <w:rFonts w:ascii="Arial" w:eastAsia="Arial" w:hAnsi="Arial" w:cs="Arial"/>
          <w:sz w:val="20"/>
          <w:szCs w:val="20"/>
        </w:rPr>
      </w:pPr>
    </w:p>
    <w:p w14:paraId="6B9C75D0"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t>Igualmente, constituyen un mismo beneficiario real las sociedades matrices y sus subordinadas.</w:t>
      </w:r>
    </w:p>
    <w:p w14:paraId="6C60A50B" w14:textId="77777777" w:rsidR="001763FE" w:rsidRDefault="001763FE">
      <w:pPr>
        <w:spacing w:after="0" w:line="240" w:lineRule="auto"/>
        <w:ind w:left="709" w:hanging="709"/>
        <w:jc w:val="both"/>
        <w:rPr>
          <w:rFonts w:ascii="Arial" w:eastAsia="Arial" w:hAnsi="Arial" w:cs="Arial"/>
          <w:sz w:val="20"/>
          <w:szCs w:val="20"/>
        </w:rPr>
      </w:pPr>
    </w:p>
    <w:p w14:paraId="52A89A3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Capacidad Financiera:</w:t>
      </w:r>
      <w:r>
        <w:rPr>
          <w:rFonts w:ascii="Arial" w:eastAsia="Arial" w:hAnsi="Arial" w:cs="Arial"/>
          <w:sz w:val="20"/>
          <w:szCs w:val="20"/>
        </w:rPr>
        <w:t xml:space="preserve"> Condiciones mínimas que reflejan la salud financiera de los Proponentes a través de su liquidez y endeudamiento </w:t>
      </w:r>
      <w:r>
        <w:rPr>
          <w:rFonts w:ascii="Arial" w:eastAsia="Arial" w:hAnsi="Arial" w:cs="Arial"/>
          <w:color w:val="000000"/>
          <w:sz w:val="20"/>
          <w:szCs w:val="20"/>
        </w:rPr>
        <w:t>y los demás indicadores que apliquen</w:t>
      </w:r>
      <w:r>
        <w:rPr>
          <w:rFonts w:ascii="Arial" w:eastAsia="Arial" w:hAnsi="Arial" w:cs="Arial"/>
          <w:strike/>
          <w:color w:val="498205"/>
          <w:sz w:val="20"/>
          <w:szCs w:val="20"/>
        </w:rPr>
        <w:t>,</w:t>
      </w:r>
      <w:r>
        <w:rPr>
          <w:rFonts w:ascii="Arial" w:eastAsia="Arial" w:hAnsi="Arial" w:cs="Arial"/>
          <w:color w:val="000000"/>
          <w:sz w:val="20"/>
          <w:szCs w:val="20"/>
        </w:rPr>
        <w:t> para poder soportar adecuadamente la ejecución del Contrato</w:t>
      </w:r>
      <w:r>
        <w:rPr>
          <w:rFonts w:ascii="Arial" w:eastAsia="Arial" w:hAnsi="Arial" w:cs="Arial"/>
          <w:sz w:val="20"/>
          <w:szCs w:val="20"/>
        </w:rPr>
        <w:t>.</w:t>
      </w:r>
    </w:p>
    <w:p w14:paraId="29304C1A" w14:textId="77777777" w:rsidR="001763FE" w:rsidRDefault="001763FE">
      <w:pPr>
        <w:spacing w:after="0" w:line="240" w:lineRule="auto"/>
        <w:ind w:left="709"/>
        <w:jc w:val="both"/>
        <w:rPr>
          <w:rFonts w:ascii="Arial" w:eastAsia="Arial" w:hAnsi="Arial" w:cs="Arial"/>
          <w:b/>
          <w:sz w:val="20"/>
          <w:szCs w:val="20"/>
        </w:rPr>
      </w:pPr>
    </w:p>
    <w:p w14:paraId="3CE4566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Capacidad Organizacional: </w:t>
      </w:r>
      <w:r>
        <w:rPr>
          <w:rFonts w:ascii="Arial" w:eastAsia="Arial" w:hAnsi="Arial" w:cs="Arial"/>
          <w:sz w:val="20"/>
          <w:szCs w:val="20"/>
        </w:rPr>
        <w:t>Aptitud de un proponente para cumplir oportuna y cabalmente el objeto del contrato en función de su organización interna. Son los contenidos en el artículo 2.2.1.1.1.5.3 del Decreto 1082 de 2015 o la norma que la reemplace, complemente o modifique.</w:t>
      </w:r>
    </w:p>
    <w:p w14:paraId="1ED3F99A" w14:textId="77777777" w:rsidR="001763FE" w:rsidRDefault="001763FE">
      <w:pPr>
        <w:spacing w:after="0" w:line="240" w:lineRule="auto"/>
        <w:ind w:left="720"/>
        <w:jc w:val="both"/>
        <w:rPr>
          <w:rFonts w:ascii="Arial" w:eastAsia="Arial" w:hAnsi="Arial" w:cs="Arial"/>
          <w:b/>
          <w:sz w:val="20"/>
          <w:szCs w:val="20"/>
        </w:rPr>
      </w:pPr>
    </w:p>
    <w:p w14:paraId="451B3B4C"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Certificado de Disponibilidad Presupuestal:</w:t>
      </w:r>
      <w:r>
        <w:rPr>
          <w:rFonts w:ascii="Arial" w:eastAsia="Arial" w:hAnsi="Arial" w:cs="Arial"/>
          <w:sz w:val="20"/>
          <w:szCs w:val="20"/>
        </w:rPr>
        <w:t xml:space="preserve"> Documento que sirve como prueba para demostrar la existencia previa de los recursos disponibles dentro del presupuesto, que ampare el compromiso que se adquiere. </w:t>
      </w:r>
    </w:p>
    <w:p w14:paraId="40BEAED9" w14:textId="77777777" w:rsidR="001763FE" w:rsidRDefault="001763FE">
      <w:pPr>
        <w:spacing w:after="0" w:line="240" w:lineRule="auto"/>
        <w:ind w:left="709"/>
        <w:jc w:val="both"/>
        <w:rPr>
          <w:rFonts w:ascii="Arial" w:eastAsia="Arial" w:hAnsi="Arial" w:cs="Arial"/>
          <w:sz w:val="20"/>
          <w:szCs w:val="20"/>
        </w:rPr>
      </w:pPr>
    </w:p>
    <w:p w14:paraId="6E46854F"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Celda de seguridad:</w:t>
      </w:r>
      <w:r>
        <w:rPr>
          <w:rFonts w:ascii="Arial" w:eastAsia="Arial" w:hAnsi="Arial" w:cs="Arial"/>
          <w:sz w:val="20"/>
          <w:szCs w:val="20"/>
        </w:rPr>
        <w:t xml:space="preserve"> Infraestructura que podrá ser ubicada en las áreas donde se realizará la disposición final de residuos sólidos, mediante la tecnología de relleno sanitario, donde se confinarán y aislarán del ambiente los residuos peligrosos previo cumplimiento de las normas ambientales y sanitarias en materia de residuos peligrosos.</w:t>
      </w:r>
    </w:p>
    <w:p w14:paraId="227516AC" w14:textId="77777777" w:rsidR="001763FE" w:rsidRDefault="001763FE">
      <w:pPr>
        <w:spacing w:after="0" w:line="240" w:lineRule="auto"/>
        <w:jc w:val="both"/>
        <w:rPr>
          <w:rFonts w:ascii="Arial" w:eastAsia="Arial" w:hAnsi="Arial" w:cs="Arial"/>
          <w:sz w:val="20"/>
          <w:szCs w:val="20"/>
        </w:rPr>
      </w:pPr>
    </w:p>
    <w:p w14:paraId="00F3786A"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Chimenea</w:t>
      </w:r>
      <w:r>
        <w:rPr>
          <w:rFonts w:ascii="Arial" w:eastAsia="Arial" w:hAnsi="Arial" w:cs="Arial"/>
          <w:sz w:val="20"/>
          <w:szCs w:val="20"/>
        </w:rPr>
        <w:t>: Estructura de ventilación que permite la salida de los gases producidos por la biodegradación de los residuos sólidos.</w:t>
      </w:r>
    </w:p>
    <w:p w14:paraId="175F2944" w14:textId="77777777" w:rsidR="001763FE" w:rsidRDefault="001763FE">
      <w:pPr>
        <w:spacing w:after="0" w:line="240" w:lineRule="auto"/>
        <w:jc w:val="both"/>
        <w:rPr>
          <w:rFonts w:ascii="Arial" w:eastAsia="Arial" w:hAnsi="Arial" w:cs="Arial"/>
          <w:sz w:val="20"/>
          <w:szCs w:val="20"/>
        </w:rPr>
      </w:pPr>
    </w:p>
    <w:p w14:paraId="38BED65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Consorcio:</w:t>
      </w:r>
      <w:r>
        <w:rPr>
          <w:rFonts w:ascii="Arial" w:eastAsia="Arial" w:hAnsi="Arial" w:cs="Arial"/>
          <w:sz w:val="20"/>
          <w:szCs w:val="20"/>
        </w:rPr>
        <w:t xml:space="preserve"> Figura asociativa en la cual dos o más personas conjuntamente presentan una misma propuesta para la adjudicación, celebración y ejecución de un contrato, respondiendo solidariamente de cada una de las obligaciones derivadas de la Propuesta y del Contrato.</w:t>
      </w:r>
    </w:p>
    <w:p w14:paraId="0C32B020" w14:textId="77777777" w:rsidR="001763FE" w:rsidRDefault="001763FE">
      <w:pPr>
        <w:spacing w:after="0" w:line="240" w:lineRule="auto"/>
        <w:ind w:left="720"/>
        <w:jc w:val="both"/>
        <w:rPr>
          <w:rFonts w:ascii="Arial" w:eastAsia="Arial" w:hAnsi="Arial" w:cs="Arial"/>
          <w:sz w:val="20"/>
          <w:szCs w:val="20"/>
        </w:rPr>
      </w:pPr>
    </w:p>
    <w:p w14:paraId="0F9B80F0"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Contratista:</w:t>
      </w:r>
      <w:r>
        <w:rPr>
          <w:rFonts w:ascii="Arial" w:eastAsia="Arial" w:hAnsi="Arial" w:cs="Arial"/>
          <w:sz w:val="20"/>
          <w:szCs w:val="20"/>
        </w:rPr>
        <w:t xml:space="preserve"> Persona natural, jurídica o el grupo de personas jurídicas o naturales, nacionales o extranjeras, asociadas entre sí que suscriben un contrato con el fin de ejecutar el objeto bajo las condiciones de modo, tiempo y lugar que en él se establecen.</w:t>
      </w:r>
    </w:p>
    <w:p w14:paraId="5BAE2B56" w14:textId="77777777" w:rsidR="001763FE" w:rsidRDefault="001763FE">
      <w:pPr>
        <w:spacing w:after="0" w:line="240" w:lineRule="auto"/>
        <w:ind w:left="720"/>
        <w:jc w:val="both"/>
        <w:rPr>
          <w:rFonts w:ascii="Arial" w:eastAsia="Arial" w:hAnsi="Arial" w:cs="Arial"/>
          <w:sz w:val="20"/>
          <w:szCs w:val="20"/>
        </w:rPr>
      </w:pPr>
    </w:p>
    <w:p w14:paraId="43C16C44"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lastRenderedPageBreak/>
        <w:t>Contrato de Obra o Contrato:</w:t>
      </w:r>
      <w:r>
        <w:rPr>
          <w:rFonts w:ascii="Arial" w:eastAsia="Arial" w:hAnsi="Arial" w:cs="Arial"/>
          <w:sz w:val="20"/>
          <w:szCs w:val="20"/>
        </w:rPr>
        <w:t xml:space="preserve"> Acuerdo de voluntades celebrado por las Entidades Estatales para la construcción, mantenimiento, instalación y, en general, para la realización de cualquier otro trabajo material sobre bienes inmuebles, cualquiera que sea la modalidad de ejecución y pago.</w:t>
      </w:r>
    </w:p>
    <w:p w14:paraId="6E63475D" w14:textId="77777777" w:rsidR="001763FE" w:rsidRDefault="001763FE">
      <w:pPr>
        <w:spacing w:after="0" w:line="240" w:lineRule="auto"/>
        <w:jc w:val="both"/>
        <w:rPr>
          <w:rFonts w:ascii="Arial" w:eastAsia="Arial" w:hAnsi="Arial" w:cs="Arial"/>
          <w:b/>
          <w:sz w:val="20"/>
          <w:szCs w:val="20"/>
        </w:rPr>
      </w:pPr>
    </w:p>
    <w:p w14:paraId="71B5B2B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Documentos Tipo:</w:t>
      </w:r>
      <w:r>
        <w:rPr>
          <w:rFonts w:ascii="Arial" w:eastAsia="Arial" w:hAnsi="Arial" w:cs="Arial"/>
          <w:sz w:val="20"/>
          <w:szCs w:val="20"/>
        </w:rPr>
        <w:t xml:space="preserve"> Documentos adoptados por la Agencia Nacional de Contratación Pública–- Colombia Compra Eficiente para un contrato que incorpora el Pliego de Condiciones Tipo, sus Anexos, Matrices y demás documentos que incluyen las condiciones habilitantes, factores técnicos, económicos y otros factores de escogencia.</w:t>
      </w:r>
    </w:p>
    <w:p w14:paraId="62971BE2" w14:textId="77777777" w:rsidR="001763FE" w:rsidRDefault="00000000">
      <w:pPr>
        <w:spacing w:after="0" w:line="240" w:lineRule="auto"/>
        <w:ind w:left="709"/>
        <w:jc w:val="both"/>
        <w:rPr>
          <w:rFonts w:ascii="Arial" w:eastAsia="Arial" w:hAnsi="Arial" w:cs="Arial"/>
          <w:b/>
          <w:sz w:val="20"/>
          <w:szCs w:val="20"/>
        </w:rPr>
      </w:pPr>
      <w:r>
        <w:rPr>
          <w:rFonts w:ascii="Arial" w:eastAsia="Arial" w:hAnsi="Arial" w:cs="Arial"/>
          <w:sz w:val="20"/>
          <w:szCs w:val="20"/>
        </w:rPr>
        <w:t xml:space="preserve"> </w:t>
      </w:r>
    </w:p>
    <w:p w14:paraId="5A15867D"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EPC (por sus siglas en inglés Engineering, Procurement and Construction): </w:t>
      </w:r>
      <w:r>
        <w:rPr>
          <w:rFonts w:ascii="Arial" w:eastAsia="Arial" w:hAnsi="Arial" w:cs="Arial"/>
          <w:sz w:val="20"/>
          <w:szCs w:val="20"/>
        </w:rPr>
        <w:t xml:space="preserve">Contrato que tiene como objetivos principales los servicios de ingeniería, adquisición y construcción. El Contratista, junto a sus funciones tradicionales relacionadas con el suministro de equipos, la construcción y la puesta en marcha, asume la ingeniería del proyecto y la responsabilidad global frente al cliente o contratante. </w:t>
      </w:r>
    </w:p>
    <w:p w14:paraId="06D55E01" w14:textId="77777777" w:rsidR="001763FE" w:rsidRDefault="001763FE">
      <w:pPr>
        <w:spacing w:after="0" w:line="240" w:lineRule="auto"/>
        <w:ind w:left="720"/>
        <w:jc w:val="both"/>
        <w:rPr>
          <w:rFonts w:ascii="Arial" w:eastAsia="Arial" w:hAnsi="Arial" w:cs="Arial"/>
          <w:b/>
          <w:sz w:val="20"/>
          <w:szCs w:val="20"/>
        </w:rPr>
      </w:pPr>
    </w:p>
    <w:p w14:paraId="4283F1C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Estados Financieros: </w:t>
      </w:r>
      <w:r>
        <w:rPr>
          <w:rFonts w:ascii="Arial" w:eastAsia="Arial" w:hAnsi="Arial" w:cs="Arial"/>
          <w:sz w:val="20"/>
          <w:szCs w:val="20"/>
        </w:rPr>
        <w:t>Informes utilizados en las instituciones/empresas que reflejan la situación económica y financiera y los cambios que se dan en cierta fecha o período determinado. Un juego completo de estados financieros comprende: (a) un estado de situación financiera al final del período; (b) un estado del resultado integral del período; (c) un estado de cambios en el patrimonio del período; (d) un estado de flujos de efectivo del período; (e) notas que incluyan un resumen de las políticas contables más significativas y otra información explicativa; y (f) un estado de situación financiera al principio del primer período comparativo, cuando una entidad aplique una política contable retroactivamente o realice una reexpresión retroactiva de partidas en sus estados financieros, o cuando reclasifique partidas en sus estados financieros.</w:t>
      </w:r>
    </w:p>
    <w:p w14:paraId="5ADE4517" w14:textId="77777777" w:rsidR="001763FE" w:rsidRDefault="001763FE">
      <w:pPr>
        <w:spacing w:after="0" w:line="240" w:lineRule="auto"/>
        <w:ind w:left="720"/>
        <w:jc w:val="both"/>
        <w:rPr>
          <w:rFonts w:ascii="Arial" w:eastAsia="Arial" w:hAnsi="Arial" w:cs="Arial"/>
          <w:b/>
          <w:sz w:val="20"/>
          <w:szCs w:val="20"/>
        </w:rPr>
      </w:pPr>
    </w:p>
    <w:p w14:paraId="1C0D643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Estudios Previos:</w:t>
      </w:r>
      <w:r>
        <w:rPr>
          <w:rFonts w:ascii="Arial" w:eastAsia="Arial" w:hAnsi="Arial" w:cs="Arial"/>
          <w:sz w:val="20"/>
          <w:szCs w:val="20"/>
        </w:rPr>
        <w:t xml:space="preserve"> Justificación jurídica, técnica, económica y financiera del proyecto que realiza la Entidad de acuerdo con las Leyes 80 de 1993 y 1150 de 2007 y el Decreto 1082 de 2015.</w:t>
      </w:r>
    </w:p>
    <w:p w14:paraId="48CB4CAE" w14:textId="77777777" w:rsidR="001763FE" w:rsidRDefault="001763FE">
      <w:pPr>
        <w:spacing w:after="0" w:line="240" w:lineRule="auto"/>
        <w:ind w:left="720"/>
        <w:jc w:val="both"/>
        <w:rPr>
          <w:rFonts w:ascii="Arial" w:eastAsia="Arial" w:hAnsi="Arial" w:cs="Arial"/>
          <w:sz w:val="20"/>
          <w:szCs w:val="20"/>
        </w:rPr>
      </w:pPr>
    </w:p>
    <w:p w14:paraId="3A4984D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Formato:</w:t>
      </w:r>
      <w:r>
        <w:rPr>
          <w:rFonts w:ascii="Arial" w:eastAsia="Arial" w:hAnsi="Arial" w:cs="Arial"/>
          <w:sz w:val="20"/>
          <w:szCs w:val="20"/>
        </w:rPr>
        <w:t xml:space="preserve"> Documentos que aporta el Proponente y que hacen parte integral de su oferta. </w:t>
      </w:r>
    </w:p>
    <w:p w14:paraId="317A90A3" w14:textId="77777777" w:rsidR="001763FE" w:rsidRDefault="001763FE">
      <w:pPr>
        <w:spacing w:after="0" w:line="240" w:lineRule="auto"/>
        <w:ind w:left="720"/>
        <w:jc w:val="both"/>
        <w:rPr>
          <w:rFonts w:ascii="Arial" w:eastAsia="Arial" w:hAnsi="Arial" w:cs="Arial"/>
          <w:b/>
          <w:sz w:val="20"/>
          <w:szCs w:val="20"/>
        </w:rPr>
      </w:pPr>
    </w:p>
    <w:p w14:paraId="460B9734"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Formulario: </w:t>
      </w:r>
      <w:r>
        <w:rPr>
          <w:rFonts w:ascii="Arial" w:eastAsia="Arial" w:hAnsi="Arial" w:cs="Arial"/>
          <w:sz w:val="20"/>
          <w:szCs w:val="20"/>
        </w:rPr>
        <w:t>Documento por medio del cual la Entidad solicita información específica que debe ser completada por el Proponente.</w:t>
      </w:r>
    </w:p>
    <w:p w14:paraId="45B48580" w14:textId="77777777" w:rsidR="001763FE" w:rsidRDefault="001763FE">
      <w:pPr>
        <w:spacing w:after="0" w:line="240" w:lineRule="auto"/>
        <w:jc w:val="both"/>
        <w:rPr>
          <w:rFonts w:ascii="Arial" w:eastAsia="Arial" w:hAnsi="Arial" w:cs="Arial"/>
          <w:b/>
          <w:sz w:val="20"/>
          <w:szCs w:val="20"/>
        </w:rPr>
      </w:pPr>
    </w:p>
    <w:p w14:paraId="397250A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Gas generado en el relleno: </w:t>
      </w:r>
      <w:r>
        <w:rPr>
          <w:rFonts w:ascii="Arial" w:eastAsia="Arial" w:hAnsi="Arial" w:cs="Arial"/>
          <w:sz w:val="20"/>
          <w:szCs w:val="20"/>
        </w:rPr>
        <w:t>Es el gas producido durante el proceso de fermentación anaerobia y/o aerobia, o por efectos de reacciones químicas de los residuos sólidos dispuestos.</w:t>
      </w:r>
    </w:p>
    <w:p w14:paraId="718CBF47" w14:textId="77777777" w:rsidR="001763FE" w:rsidRDefault="001763FE">
      <w:pPr>
        <w:spacing w:after="0" w:line="240" w:lineRule="auto"/>
        <w:ind w:left="720"/>
        <w:jc w:val="both"/>
        <w:rPr>
          <w:rFonts w:ascii="Arial" w:eastAsia="Arial" w:hAnsi="Arial" w:cs="Arial"/>
          <w:sz w:val="20"/>
          <w:szCs w:val="20"/>
        </w:rPr>
      </w:pPr>
    </w:p>
    <w:p w14:paraId="3F92F1D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Garantía:</w:t>
      </w:r>
      <w:r>
        <w:rPr>
          <w:rFonts w:ascii="Arial" w:eastAsia="Arial" w:hAnsi="Arial" w:cs="Arial"/>
          <w:sz w:val="20"/>
          <w:szCs w:val="20"/>
        </w:rPr>
        <w:t xml:space="preserve"> Respaldo que tiene</w:t>
      </w:r>
      <w:r>
        <w:rPr>
          <w:rFonts w:ascii="Arial" w:eastAsia="Arial" w:hAnsi="Arial" w:cs="Arial"/>
          <w:b/>
          <w:sz w:val="20"/>
          <w:szCs w:val="20"/>
        </w:rPr>
        <w:t xml:space="preserve"> </w:t>
      </w:r>
      <w:r>
        <w:rPr>
          <w:rFonts w:ascii="Arial" w:eastAsia="Arial" w:hAnsi="Arial" w:cs="Arial"/>
          <w:sz w:val="20"/>
          <w:szCs w:val="20"/>
        </w:rPr>
        <w:t>como fin</w:t>
      </w:r>
      <w:r>
        <w:rPr>
          <w:rFonts w:ascii="Arial" w:eastAsia="Arial" w:hAnsi="Arial" w:cs="Arial"/>
          <w:color w:val="D13438"/>
          <w:sz w:val="19"/>
          <w:szCs w:val="19"/>
        </w:rPr>
        <w:t xml:space="preserve"> </w:t>
      </w:r>
      <w:r>
        <w:rPr>
          <w:rFonts w:ascii="Arial" w:eastAsia="Arial" w:hAnsi="Arial" w:cs="Arial"/>
          <w:sz w:val="19"/>
          <w:szCs w:val="19"/>
        </w:rPr>
        <w:t>el pago a favor de la Entidad Estatal</w:t>
      </w:r>
      <w:r>
        <w:rPr>
          <w:rFonts w:ascii="Arial" w:eastAsia="Arial" w:hAnsi="Arial" w:cs="Arial"/>
          <w:sz w:val="20"/>
          <w:szCs w:val="20"/>
        </w:rPr>
        <w:t xml:space="preserve"> de las indemnizaciones o sanciones derivadas del incumplimiento del contrato. Las clases de garantías son: (i) contratos de seguro, (ii) fiducia mercantil de garantía o (iii) garantías bancarias.</w:t>
      </w:r>
    </w:p>
    <w:p w14:paraId="03559ADB" w14:textId="77777777" w:rsidR="001763FE" w:rsidRDefault="001763FE">
      <w:pPr>
        <w:spacing w:after="0" w:line="240" w:lineRule="auto"/>
        <w:ind w:left="720"/>
        <w:jc w:val="both"/>
        <w:rPr>
          <w:rFonts w:ascii="Arial" w:eastAsia="Arial" w:hAnsi="Arial" w:cs="Arial"/>
          <w:sz w:val="20"/>
          <w:szCs w:val="20"/>
        </w:rPr>
      </w:pPr>
    </w:p>
    <w:p w14:paraId="062288CC"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Garantía de Responsabilidad Civil Extracontractual:</w:t>
      </w:r>
      <w:r>
        <w:rPr>
          <w:rFonts w:ascii="Arial" w:eastAsia="Arial" w:hAnsi="Arial" w:cs="Arial"/>
          <w:sz w:val="20"/>
          <w:szCs w:val="20"/>
        </w:rPr>
        <w:t xml:space="preserve"> Garantía que cubre los perjuicios que puede sufrir la Entidad Estatal derivados de la responsabilidad extracontractual que surja de las actuaciones, hechos u omisiones de su Contratista o de los subcontratistas. Este Riesgo sólo puede cubrirse mediante pólizas de seguro.</w:t>
      </w:r>
    </w:p>
    <w:p w14:paraId="75E6A74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Impacto ambiental: </w:t>
      </w:r>
      <w:r>
        <w:rPr>
          <w:rFonts w:ascii="Arial" w:eastAsia="Arial" w:hAnsi="Arial" w:cs="Arial"/>
          <w:sz w:val="20"/>
          <w:szCs w:val="20"/>
        </w:rPr>
        <w:t>Cualquier alteración en el sistema ambiental biótico, abiótico y socioeconómico, que sea adverso o beneficioso, total o parcial, que pueda ser atribuido al desarrollo de un proyecto, obra o actividad.</w:t>
      </w:r>
    </w:p>
    <w:p w14:paraId="2CACB007" w14:textId="77777777" w:rsidR="001763FE" w:rsidRDefault="001763FE">
      <w:pPr>
        <w:spacing w:after="0" w:line="240" w:lineRule="auto"/>
        <w:ind w:left="720"/>
        <w:jc w:val="both"/>
        <w:rPr>
          <w:rFonts w:ascii="Arial" w:eastAsia="Arial" w:hAnsi="Arial" w:cs="Arial"/>
          <w:sz w:val="20"/>
          <w:szCs w:val="20"/>
        </w:rPr>
      </w:pPr>
    </w:p>
    <w:p w14:paraId="77E9D6D4"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lastRenderedPageBreak/>
        <w:t>Información Pública Reservada:</w:t>
      </w:r>
      <w:r>
        <w:rPr>
          <w:rFonts w:ascii="Arial" w:eastAsia="Arial" w:hAnsi="Arial" w:cs="Arial"/>
          <w:sz w:val="20"/>
          <w:szCs w:val="20"/>
        </w:rPr>
        <w:t xml:space="preserve"> Información que estando en poder o en custodia de un sujeto obligado en su calidad de tal, es exceptuada de acceso a la ciudadanía por daño a intereses públicos conforme con el artículo 19 de la Ley 1712 de 2014.</w:t>
      </w:r>
    </w:p>
    <w:p w14:paraId="60E37E7F" w14:textId="77777777" w:rsidR="001763FE" w:rsidRDefault="001763FE">
      <w:pPr>
        <w:spacing w:after="0" w:line="240" w:lineRule="auto"/>
        <w:ind w:left="720"/>
        <w:jc w:val="both"/>
        <w:rPr>
          <w:rFonts w:ascii="Arial" w:eastAsia="Arial" w:hAnsi="Arial" w:cs="Arial"/>
          <w:b/>
          <w:sz w:val="20"/>
          <w:szCs w:val="20"/>
        </w:rPr>
      </w:pPr>
    </w:p>
    <w:p w14:paraId="1278B52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Legalización:</w:t>
      </w:r>
      <w:r>
        <w:rPr>
          <w:rFonts w:ascii="Arial" w:eastAsia="Arial" w:hAnsi="Arial" w:cs="Arial"/>
          <w:sz w:val="20"/>
          <w:szCs w:val="20"/>
        </w:rPr>
        <w:t xml:space="preserve"> Certificación de la autenticidad de la firma de un servidor público en ejercicio de sus funciones y la calidad en que el signatario haya actuado, la cual deberá estar registrada ante el Ministerio de Relaciones Exteriores, para que el documento surta plenos efectos legales en un país que hace parte de la Convención de Viena de 1963, sobre relaciones consulares, del artículo 5, que reglamenta las actuaciones consulares en calidad de notario.</w:t>
      </w:r>
    </w:p>
    <w:p w14:paraId="3BCADCBB" w14:textId="77777777" w:rsidR="001763FE" w:rsidRDefault="001763FE">
      <w:pPr>
        <w:spacing w:after="0" w:line="240" w:lineRule="auto"/>
        <w:jc w:val="both"/>
        <w:rPr>
          <w:rFonts w:ascii="Arial" w:eastAsia="Arial" w:hAnsi="Arial" w:cs="Arial"/>
          <w:sz w:val="20"/>
          <w:szCs w:val="20"/>
        </w:rPr>
      </w:pPr>
    </w:p>
    <w:p w14:paraId="7082CEE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Matriz:</w:t>
      </w:r>
      <w:r>
        <w:rPr>
          <w:rFonts w:ascii="Arial" w:eastAsia="Arial" w:hAnsi="Arial" w:cs="Arial"/>
          <w:sz w:val="20"/>
          <w:szCs w:val="20"/>
        </w:rPr>
        <w:t xml:space="preserve"> Documento que incorpora condiciones técnicas, de riesgos o económicas que debe tener en cuenta el Proponente al momento de estructurar su oferta y ejecutar el Contrato.</w:t>
      </w:r>
    </w:p>
    <w:p w14:paraId="6548F72B" w14:textId="77777777" w:rsidR="001763FE" w:rsidRDefault="001763FE">
      <w:pPr>
        <w:spacing w:after="0" w:line="240" w:lineRule="auto"/>
        <w:ind w:left="720"/>
        <w:jc w:val="both"/>
        <w:rPr>
          <w:rFonts w:ascii="Arial" w:eastAsia="Arial" w:hAnsi="Arial" w:cs="Arial"/>
          <w:sz w:val="20"/>
          <w:szCs w:val="20"/>
        </w:rPr>
      </w:pPr>
    </w:p>
    <w:p w14:paraId="3B3F18B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Medio Magnético:</w:t>
      </w:r>
      <w:r>
        <w:rPr>
          <w:rFonts w:ascii="Arial" w:eastAsia="Arial" w:hAnsi="Arial" w:cs="Arial"/>
          <w:sz w:val="20"/>
          <w:szCs w:val="20"/>
        </w:rPr>
        <w:t xml:space="preserve"> Dispositivo que utiliza materiales magnéticos para archivar información digital, tales como las USB, discos duros o los CD que almacenan grandes volúmenes de datos en un espacio físico pequeño.</w:t>
      </w:r>
    </w:p>
    <w:p w14:paraId="7EA50EFB" w14:textId="77777777" w:rsidR="001763FE" w:rsidRDefault="001763FE">
      <w:pPr>
        <w:spacing w:after="0" w:line="240" w:lineRule="auto"/>
        <w:jc w:val="both"/>
        <w:rPr>
          <w:rFonts w:ascii="Arial" w:eastAsia="Arial" w:hAnsi="Arial" w:cs="Arial"/>
          <w:b/>
          <w:sz w:val="20"/>
          <w:szCs w:val="20"/>
        </w:rPr>
      </w:pPr>
    </w:p>
    <w:p w14:paraId="1D3CAAD9"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Monitoreo: </w:t>
      </w:r>
      <w:r>
        <w:rPr>
          <w:rFonts w:ascii="Arial" w:eastAsia="Arial" w:hAnsi="Arial" w:cs="Arial"/>
          <w:sz w:val="20"/>
          <w:szCs w:val="20"/>
        </w:rPr>
        <w:t>Actividad consistente en efectuar observaciones, mediciones y evaluaciones continuas de una característica, elemento, parámetro o de un proceso en un sitio y período determinados, con el objeto de verificar los impactos y riesgos potenciales hacia el ambiente y la salud pública.</w:t>
      </w:r>
    </w:p>
    <w:p w14:paraId="3B72FD75" w14:textId="77777777" w:rsidR="001763FE" w:rsidRDefault="001763FE">
      <w:pPr>
        <w:spacing w:after="0" w:line="240" w:lineRule="auto"/>
        <w:jc w:val="both"/>
        <w:rPr>
          <w:rFonts w:ascii="Arial" w:eastAsia="Arial" w:hAnsi="Arial" w:cs="Arial"/>
          <w:b/>
          <w:sz w:val="20"/>
          <w:szCs w:val="20"/>
        </w:rPr>
      </w:pPr>
    </w:p>
    <w:p w14:paraId="457234F0"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Plan de contingencia: </w:t>
      </w:r>
      <w:r>
        <w:rPr>
          <w:rFonts w:ascii="Arial" w:eastAsia="Arial" w:hAnsi="Arial" w:cs="Arial"/>
          <w:sz w:val="20"/>
          <w:szCs w:val="20"/>
        </w:rPr>
        <w:t>Instrumento donde se describen las medidas de tipo preventivo que aminoren o eviten la ocurrencia de accidentes, tanto del personal vinculado directamente a las labores, como a los habitantes del área de influencia que sean vulnerables ante cualquier tipo de amenaza que provenga del proyecto.</w:t>
      </w:r>
    </w:p>
    <w:p w14:paraId="4965C74F" w14:textId="77777777" w:rsidR="001763FE" w:rsidRDefault="001763FE">
      <w:pPr>
        <w:spacing w:after="0" w:line="240" w:lineRule="auto"/>
        <w:jc w:val="both"/>
        <w:rPr>
          <w:rFonts w:ascii="Arial" w:eastAsia="Arial" w:hAnsi="Arial" w:cs="Arial"/>
          <w:b/>
          <w:sz w:val="20"/>
          <w:szCs w:val="20"/>
        </w:rPr>
      </w:pPr>
    </w:p>
    <w:p w14:paraId="609BFFA8"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Plan de Gestión de Residuos de Construcción y Demolición: </w:t>
      </w:r>
      <w:r>
        <w:rPr>
          <w:rFonts w:ascii="Arial" w:eastAsia="Arial" w:hAnsi="Arial" w:cs="Arial"/>
          <w:sz w:val="20"/>
          <w:szCs w:val="20"/>
        </w:rPr>
        <w:t>Es un documento basado en la elaboración de formatos y un documento explicativo para su correcta implementación. La información recolectada en este documento le mostrará al constructor los beneficios ambientales y económicos que obtendrá dentro de sus proyectos, al formular e implementar de manera adecuada el Plan de gestión integral, cumpliendo con las directrices de la Resolución 01115 de 2012 y resolución 0932 de 2015.</w:t>
      </w:r>
    </w:p>
    <w:p w14:paraId="5BABC7B1" w14:textId="77777777" w:rsidR="001763FE" w:rsidRDefault="001763FE">
      <w:pPr>
        <w:spacing w:after="0" w:line="240" w:lineRule="auto"/>
        <w:jc w:val="both"/>
        <w:rPr>
          <w:rFonts w:ascii="Arial" w:eastAsia="Arial" w:hAnsi="Arial" w:cs="Arial"/>
          <w:b/>
          <w:sz w:val="20"/>
          <w:szCs w:val="20"/>
        </w:rPr>
      </w:pPr>
    </w:p>
    <w:p w14:paraId="6818AE3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Plan de Manejo Ambiental: </w:t>
      </w:r>
      <w:r>
        <w:rPr>
          <w:rFonts w:ascii="Arial" w:eastAsia="Arial" w:hAnsi="Arial" w:cs="Arial"/>
          <w:sz w:val="20"/>
          <w:szCs w:val="20"/>
        </w:rPr>
        <w:t>Es el conjunto detallado de actividades, que producto de una evaluación ambiental, están orientadas a prevenir, mitigar, corregir o compensar los impactos y efectos ambientales que se causen por el desarrollo de un proyecto, obra o actividad. Incluye los planes de seguimiento, monitoreo, contingencia, y abandono según la naturaleza del proyecto, obra o actividad.</w:t>
      </w:r>
    </w:p>
    <w:p w14:paraId="15E03073" w14:textId="77777777" w:rsidR="001763FE" w:rsidRDefault="001763FE">
      <w:pPr>
        <w:spacing w:after="0" w:line="240" w:lineRule="auto"/>
        <w:ind w:left="720"/>
        <w:jc w:val="both"/>
        <w:rPr>
          <w:rFonts w:ascii="Arial" w:eastAsia="Arial" w:hAnsi="Arial" w:cs="Arial"/>
          <w:sz w:val="20"/>
          <w:szCs w:val="20"/>
        </w:rPr>
      </w:pPr>
    </w:p>
    <w:p w14:paraId="54AF75A8"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Pliego de Condiciones:</w:t>
      </w:r>
      <w:r>
        <w:rPr>
          <w:rFonts w:ascii="Arial" w:eastAsia="Arial" w:hAnsi="Arial" w:cs="Arial"/>
          <w:sz w:val="20"/>
          <w:szCs w:val="20"/>
        </w:rPr>
        <w:t xml:space="preserve"> Conjunto de normas que rigen el proceso de selección y el futuro Contrato, en los que se señalan las condiciones objetivas, plazos y procedimientos dentro de los cuales los Proponentes deben formular su oferta para participar en el Proceso de Contratación y tener la posibilidad de obtener la calidad de adjudicatario. </w:t>
      </w:r>
    </w:p>
    <w:p w14:paraId="6A418B9D" w14:textId="77777777" w:rsidR="001763FE" w:rsidRDefault="001763FE">
      <w:pPr>
        <w:spacing w:after="0" w:line="240" w:lineRule="auto"/>
        <w:ind w:left="720"/>
        <w:jc w:val="both"/>
        <w:rPr>
          <w:rFonts w:ascii="Arial" w:eastAsia="Arial" w:hAnsi="Arial" w:cs="Arial"/>
          <w:sz w:val="20"/>
          <w:szCs w:val="20"/>
        </w:rPr>
      </w:pPr>
    </w:p>
    <w:p w14:paraId="6F960137"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Pliego de Condiciones Tipo:</w:t>
      </w:r>
      <w:r>
        <w:rPr>
          <w:rFonts w:ascii="Arial" w:eastAsia="Arial" w:hAnsi="Arial" w:cs="Arial"/>
          <w:sz w:val="20"/>
          <w:szCs w:val="20"/>
        </w:rPr>
        <w:t xml:space="preserve"> Documento diseñado, actualizado y publicado por Colombia Compra Eficiente que incorpora las condiciones habilitantes, requisitos de puntaje y demás aspectos señalados en el artículo 4 de la Ley 1882 de 2018.  </w:t>
      </w:r>
    </w:p>
    <w:p w14:paraId="68B98C7F" w14:textId="77777777" w:rsidR="001763FE" w:rsidRDefault="001763FE">
      <w:pPr>
        <w:spacing w:after="0" w:line="240" w:lineRule="auto"/>
        <w:ind w:left="720"/>
        <w:jc w:val="both"/>
        <w:rPr>
          <w:rFonts w:ascii="Arial" w:eastAsia="Arial" w:hAnsi="Arial" w:cs="Arial"/>
          <w:sz w:val="20"/>
          <w:szCs w:val="20"/>
        </w:rPr>
      </w:pPr>
    </w:p>
    <w:p w14:paraId="314FC52C"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Porcentaje de AIU:</w:t>
      </w:r>
      <w:r>
        <w:rPr>
          <w:rFonts w:ascii="Arial" w:eastAsia="Arial" w:hAnsi="Arial" w:cs="Arial"/>
          <w:sz w:val="20"/>
          <w:szCs w:val="20"/>
        </w:rPr>
        <w:t xml:space="preserve"> Porcentaje de los costos directos destinados a cubrir los gastos de administración (A), que comprende los costos de dirección de obra, costos administrativos de oficina, etc.; los imprevistos (I), que corresponde a un porcentaje orientado a solventar los costos que surjan y que no fueron previstos y las utilidades (U) que es la remuneración del Contratista.</w:t>
      </w:r>
    </w:p>
    <w:p w14:paraId="5C4BE513" w14:textId="77777777" w:rsidR="001763FE" w:rsidRDefault="001763FE">
      <w:pPr>
        <w:spacing w:after="0" w:line="240" w:lineRule="auto"/>
        <w:ind w:left="709"/>
        <w:jc w:val="both"/>
        <w:rPr>
          <w:rFonts w:ascii="Arial" w:eastAsia="Arial" w:hAnsi="Arial" w:cs="Arial"/>
          <w:sz w:val="20"/>
          <w:szCs w:val="20"/>
        </w:rPr>
      </w:pPr>
    </w:p>
    <w:p w14:paraId="669FFDA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Precio Global:</w:t>
      </w:r>
      <w:r>
        <w:rPr>
          <w:rFonts w:ascii="Arial" w:eastAsia="Arial" w:hAnsi="Arial" w:cs="Arial"/>
          <w:sz w:val="20"/>
          <w:szCs w:val="20"/>
        </w:rPr>
        <w:t xml:space="preserve"> Modalidad de pago cierto, cerrado e inalterable como única remuneración por el objeto contratado.</w:t>
      </w:r>
    </w:p>
    <w:p w14:paraId="22D354F3" w14:textId="77777777" w:rsidR="001763FE" w:rsidRDefault="001763FE">
      <w:pPr>
        <w:spacing w:after="0" w:line="240" w:lineRule="auto"/>
        <w:ind w:left="720"/>
        <w:jc w:val="both"/>
        <w:rPr>
          <w:rFonts w:ascii="Arial" w:eastAsia="Arial" w:hAnsi="Arial" w:cs="Arial"/>
          <w:sz w:val="20"/>
          <w:szCs w:val="20"/>
        </w:rPr>
      </w:pPr>
    </w:p>
    <w:p w14:paraId="206EC13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Precios Unitarios:</w:t>
      </w:r>
      <w:r>
        <w:rPr>
          <w:rFonts w:ascii="Arial" w:eastAsia="Arial" w:hAnsi="Arial" w:cs="Arial"/>
          <w:sz w:val="20"/>
          <w:szCs w:val="20"/>
        </w:rPr>
        <w:t xml:space="preserve"> Forma de pago por unidades o cantidades de obra correspondiendo el valor del Contrato a la multiplicación de dichas cantidades ejecutadas por el precio de cada una de ellas. </w:t>
      </w:r>
    </w:p>
    <w:p w14:paraId="53F78478" w14:textId="77777777" w:rsidR="001763FE" w:rsidRDefault="001763FE">
      <w:pPr>
        <w:spacing w:after="0" w:line="240" w:lineRule="auto"/>
        <w:ind w:left="720"/>
        <w:jc w:val="both"/>
        <w:rPr>
          <w:rFonts w:ascii="Arial" w:eastAsia="Arial" w:hAnsi="Arial" w:cs="Arial"/>
          <w:sz w:val="20"/>
          <w:szCs w:val="20"/>
        </w:rPr>
      </w:pPr>
    </w:p>
    <w:p w14:paraId="59A1C47C"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Presupuesto Oficial:</w:t>
      </w:r>
      <w:r>
        <w:rPr>
          <w:rFonts w:ascii="Arial" w:eastAsia="Arial" w:hAnsi="Arial" w:cs="Arial"/>
          <w:sz w:val="20"/>
          <w:szCs w:val="20"/>
        </w:rPr>
        <w:t xml:space="preserve"> Valor total que la Entidad determina como necesario para ejecutar el objeto del Contrato con base en el estudio previo y el análisis del sector.</w:t>
      </w:r>
    </w:p>
    <w:p w14:paraId="2DFBC188" w14:textId="77777777" w:rsidR="001763FE" w:rsidRDefault="001763FE">
      <w:pPr>
        <w:spacing w:after="0" w:line="240" w:lineRule="auto"/>
        <w:ind w:left="720"/>
        <w:jc w:val="both"/>
        <w:rPr>
          <w:rFonts w:ascii="Arial" w:eastAsia="Arial" w:hAnsi="Arial" w:cs="Arial"/>
          <w:sz w:val="20"/>
          <w:szCs w:val="20"/>
        </w:rPr>
      </w:pPr>
    </w:p>
    <w:p w14:paraId="2E3C5B3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Proponente Plural:</w:t>
      </w:r>
      <w:r>
        <w:rPr>
          <w:rFonts w:ascii="Arial" w:eastAsia="Arial" w:hAnsi="Arial" w:cs="Arial"/>
          <w:sz w:val="20"/>
          <w:szCs w:val="20"/>
        </w:rPr>
        <w:t xml:space="preserve"> Figura asociativa en la cual dos o más personas en forma conjunta se unen ya sea en Consorcio o de Unión Temporal con el fin de aunar esfuerzos para presentar una misma propuesta y de resultar adjudicatario firmar, ejecutar y liquidar el Contrato. </w:t>
      </w:r>
    </w:p>
    <w:p w14:paraId="5C853562" w14:textId="77777777" w:rsidR="001763FE" w:rsidRDefault="001763FE">
      <w:pPr>
        <w:spacing w:after="0" w:line="240" w:lineRule="auto"/>
        <w:ind w:left="720"/>
        <w:jc w:val="both"/>
        <w:rPr>
          <w:rFonts w:ascii="Arial" w:eastAsia="Arial" w:hAnsi="Arial" w:cs="Arial"/>
          <w:sz w:val="20"/>
          <w:szCs w:val="20"/>
        </w:rPr>
      </w:pPr>
    </w:p>
    <w:p w14:paraId="7D5DE4F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Proponente:</w:t>
      </w:r>
      <w:r>
        <w:rPr>
          <w:rFonts w:ascii="Arial" w:eastAsia="Arial" w:hAnsi="Arial" w:cs="Arial"/>
          <w:sz w:val="20"/>
          <w:szCs w:val="20"/>
        </w:rPr>
        <w:t xml:space="preserve"> Persona o grupo de personas que presentan una oferta para participar en el Proceso de Contratación. </w:t>
      </w:r>
    </w:p>
    <w:p w14:paraId="1625B4F2" w14:textId="77777777" w:rsidR="001763FE" w:rsidRDefault="001763FE">
      <w:pPr>
        <w:spacing w:after="0" w:line="240" w:lineRule="auto"/>
        <w:jc w:val="both"/>
        <w:rPr>
          <w:rFonts w:ascii="Arial" w:eastAsia="Arial" w:hAnsi="Arial" w:cs="Arial"/>
          <w:b/>
          <w:sz w:val="20"/>
          <w:szCs w:val="20"/>
        </w:rPr>
      </w:pPr>
    </w:p>
    <w:p w14:paraId="3F9B59E4"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Receptor: </w:t>
      </w:r>
      <w:r>
        <w:rPr>
          <w:rFonts w:ascii="Arial" w:eastAsia="Arial" w:hAnsi="Arial" w:cs="Arial"/>
          <w:sz w:val="20"/>
          <w:szCs w:val="20"/>
        </w:rPr>
        <w:t>El titular autorizado para realizar las actividades de almacenamiento, aprovechamiento y/o valorización (incluida la recuperación, el reciclado o la regeneración), el tratamiento y/o la disposición final de residuos o desechos peligrosos</w:t>
      </w:r>
    </w:p>
    <w:p w14:paraId="45D45F96" w14:textId="77777777" w:rsidR="001763FE" w:rsidRDefault="001763FE">
      <w:pPr>
        <w:spacing w:after="0" w:line="240" w:lineRule="auto"/>
        <w:ind w:left="720"/>
        <w:jc w:val="both"/>
        <w:rPr>
          <w:rFonts w:ascii="Arial" w:eastAsia="Arial" w:hAnsi="Arial" w:cs="Arial"/>
          <w:sz w:val="20"/>
          <w:szCs w:val="20"/>
        </w:rPr>
      </w:pPr>
    </w:p>
    <w:p w14:paraId="7F63DC93"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Reembolso de Gastos:</w:t>
      </w:r>
      <w:r>
        <w:rPr>
          <w:rFonts w:ascii="Arial" w:eastAsia="Arial" w:hAnsi="Arial" w:cs="Arial"/>
          <w:sz w:val="20"/>
          <w:szCs w:val="20"/>
        </w:rPr>
        <w:t xml:space="preserve"> Forma de pago en la cual el Contratista asume los gastos de ejecución del contrato y la Entidad Estatal periódicamente rembolsa dichos gastos y además le reconoce los honorarios que se pactan por su gestión.</w:t>
      </w:r>
    </w:p>
    <w:p w14:paraId="3511E080" w14:textId="77777777" w:rsidR="001763FE" w:rsidRDefault="001763FE">
      <w:pPr>
        <w:spacing w:after="0" w:line="240" w:lineRule="auto"/>
        <w:jc w:val="both"/>
        <w:rPr>
          <w:rFonts w:ascii="Arial" w:eastAsia="Arial" w:hAnsi="Arial" w:cs="Arial"/>
          <w:b/>
          <w:sz w:val="20"/>
          <w:szCs w:val="20"/>
        </w:rPr>
      </w:pPr>
    </w:p>
    <w:p w14:paraId="09DE53F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Residuos de Construcción y Demolición: </w:t>
      </w:r>
      <w:r>
        <w:rPr>
          <w:rFonts w:ascii="Arial" w:eastAsia="Arial" w:hAnsi="Arial" w:cs="Arial"/>
          <w:sz w:val="20"/>
          <w:szCs w:val="20"/>
        </w:rPr>
        <w:t>Son todos los restos sólidos que salen después de realizar una obra en casa o de las actividades de demolición, excavación, construcción y/o reparación de las obras civiles.</w:t>
      </w:r>
    </w:p>
    <w:p w14:paraId="3147C675" w14:textId="77777777" w:rsidR="001763FE" w:rsidRDefault="001763FE">
      <w:pPr>
        <w:spacing w:after="0" w:line="240" w:lineRule="auto"/>
        <w:jc w:val="both"/>
        <w:rPr>
          <w:rFonts w:ascii="Arial" w:eastAsia="Arial" w:hAnsi="Arial" w:cs="Arial"/>
          <w:b/>
          <w:sz w:val="20"/>
          <w:szCs w:val="20"/>
        </w:rPr>
      </w:pPr>
    </w:p>
    <w:p w14:paraId="299531EC"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Residuo o Desecho Peligroso: </w:t>
      </w:r>
      <w:r>
        <w:rPr>
          <w:rFonts w:ascii="Arial" w:eastAsia="Arial" w:hAnsi="Arial" w:cs="Arial"/>
          <w:sz w:val="20"/>
          <w:szCs w:val="20"/>
        </w:rPr>
        <w:t>Es aquel residuo o desecho que por sus características corrosivas, reactivas, explosivas, tóxicas, inflamables, infecciosas o radiactivas puede causar riesgo o daño para la salud humana y el ambiente. Así mismo, se considera residuo o desecho peligroso los envases, empaques y embalajes que hayan estado en contacto con ellos.</w:t>
      </w:r>
    </w:p>
    <w:p w14:paraId="5BA90625" w14:textId="77777777" w:rsidR="001763FE" w:rsidRDefault="001763FE">
      <w:pPr>
        <w:spacing w:after="0" w:line="240" w:lineRule="auto"/>
        <w:jc w:val="both"/>
        <w:rPr>
          <w:rFonts w:ascii="Arial" w:eastAsia="Arial" w:hAnsi="Arial" w:cs="Arial"/>
          <w:b/>
          <w:sz w:val="20"/>
          <w:szCs w:val="20"/>
        </w:rPr>
      </w:pPr>
    </w:p>
    <w:p w14:paraId="7E5DAA5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Riesgo por residuos o material peligroso: </w:t>
      </w:r>
      <w:r>
        <w:rPr>
          <w:rFonts w:ascii="Arial" w:eastAsia="Arial" w:hAnsi="Arial" w:cs="Arial"/>
          <w:sz w:val="20"/>
          <w:szCs w:val="20"/>
        </w:rPr>
        <w:t>Probabilidad o posibilidad de que el manejo, la liberación al ambiente y la exposición a un material o residuo, ocasionen efectos adversos en la salud humana y/o al ambiente.</w:t>
      </w:r>
    </w:p>
    <w:p w14:paraId="6A5D5AFE" w14:textId="77777777" w:rsidR="001763FE" w:rsidRDefault="001763FE">
      <w:pPr>
        <w:spacing w:after="0" w:line="240" w:lineRule="auto"/>
        <w:ind w:left="720"/>
        <w:jc w:val="both"/>
        <w:rPr>
          <w:rFonts w:ascii="Arial" w:eastAsia="Arial" w:hAnsi="Arial" w:cs="Arial"/>
          <w:sz w:val="20"/>
          <w:szCs w:val="20"/>
        </w:rPr>
      </w:pPr>
    </w:p>
    <w:p w14:paraId="1A78BEB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Selección Objetiva:</w:t>
      </w:r>
      <w:r>
        <w:rPr>
          <w:rFonts w:ascii="Arial" w:eastAsia="Arial" w:hAnsi="Arial" w:cs="Arial"/>
          <w:sz w:val="20"/>
          <w:szCs w:val="20"/>
        </w:rPr>
        <w:t xml:space="preserve"> Principio y deber que busca que la escogencia de los colaboradores de la administración responda a criterios objetivos, en concordancia con los principios que rigen la función administrativa. </w:t>
      </w:r>
    </w:p>
    <w:p w14:paraId="2539DA76" w14:textId="77777777" w:rsidR="001763FE" w:rsidRDefault="001763FE">
      <w:pPr>
        <w:spacing w:after="0" w:line="240" w:lineRule="auto"/>
        <w:ind w:left="720"/>
        <w:jc w:val="both"/>
        <w:rPr>
          <w:rFonts w:ascii="Arial" w:eastAsia="Arial" w:hAnsi="Arial" w:cs="Arial"/>
          <w:sz w:val="20"/>
          <w:szCs w:val="20"/>
        </w:rPr>
      </w:pPr>
    </w:p>
    <w:p w14:paraId="377EA22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Sobre 1:</w:t>
      </w:r>
      <w:r>
        <w:rPr>
          <w:rFonts w:ascii="Arial" w:eastAsia="Arial" w:hAnsi="Arial" w:cs="Arial"/>
          <w:sz w:val="20"/>
          <w:szCs w:val="20"/>
        </w:rPr>
        <w:t xml:space="preserve"> Instrumento que incluye los documentos relacionados con el cumplimiento de los requisitos habilitantes, así como los requisitos y documentos a los que se les asigna puntaje que son diferentes a la oferta económica. </w:t>
      </w:r>
    </w:p>
    <w:p w14:paraId="101EADD9" w14:textId="77777777" w:rsidR="001763FE" w:rsidRDefault="001763FE">
      <w:pPr>
        <w:spacing w:after="0" w:line="240" w:lineRule="auto"/>
        <w:ind w:left="720"/>
        <w:jc w:val="both"/>
        <w:rPr>
          <w:rFonts w:ascii="Arial" w:eastAsia="Arial" w:hAnsi="Arial" w:cs="Arial"/>
          <w:sz w:val="20"/>
          <w:szCs w:val="20"/>
        </w:rPr>
      </w:pPr>
    </w:p>
    <w:p w14:paraId="040019D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Sobre 2:</w:t>
      </w:r>
      <w:r>
        <w:rPr>
          <w:rFonts w:ascii="Arial" w:eastAsia="Arial" w:hAnsi="Arial" w:cs="Arial"/>
          <w:sz w:val="20"/>
          <w:szCs w:val="20"/>
        </w:rPr>
        <w:t xml:space="preserve"> Instrumento que contiene la oferta económica.</w:t>
      </w:r>
    </w:p>
    <w:p w14:paraId="12EC86A2" w14:textId="77777777" w:rsidR="001763FE" w:rsidRDefault="001763FE">
      <w:pPr>
        <w:spacing w:after="0" w:line="240" w:lineRule="auto"/>
        <w:ind w:left="720"/>
        <w:jc w:val="both"/>
        <w:rPr>
          <w:b/>
        </w:rPr>
      </w:pPr>
    </w:p>
    <w:p w14:paraId="16F59E7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Subcontratista:</w:t>
      </w:r>
      <w:r>
        <w:rPr>
          <w:rFonts w:ascii="Arial" w:eastAsia="Arial" w:hAnsi="Arial" w:cs="Arial"/>
          <w:sz w:val="20"/>
          <w:szCs w:val="20"/>
        </w:rPr>
        <w:t xml:space="preserve"> Persona natural, jurídica o figura asociativa que contrata el Contratista principal para ejecutar una actividad previamente contratada por una Entidad Estatal u otra persona natural o jurídica. </w:t>
      </w:r>
    </w:p>
    <w:p w14:paraId="67CC0142" w14:textId="77777777" w:rsidR="001763FE" w:rsidRDefault="001763FE">
      <w:pPr>
        <w:spacing w:after="0" w:line="240" w:lineRule="auto"/>
        <w:ind w:left="720"/>
        <w:jc w:val="both"/>
        <w:rPr>
          <w:rFonts w:ascii="Arial" w:eastAsia="Arial" w:hAnsi="Arial" w:cs="Arial"/>
          <w:sz w:val="20"/>
          <w:szCs w:val="20"/>
        </w:rPr>
      </w:pPr>
    </w:p>
    <w:p w14:paraId="18592143"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lastRenderedPageBreak/>
        <w:t>Sucursal:</w:t>
      </w:r>
      <w:r>
        <w:rPr>
          <w:rFonts w:ascii="Arial" w:eastAsia="Arial" w:hAnsi="Arial" w:cs="Arial"/>
          <w:sz w:val="20"/>
          <w:szCs w:val="20"/>
        </w:rPr>
        <w:t xml:space="preserve"> Establecimientos de comercio abiertos por una sociedad, dentro o fuera de su domicilio, para el desarrollo de los negocios sociales o de parte de ellos, administrados por mandatarios con facultades para representar a la sociedad.</w:t>
      </w:r>
    </w:p>
    <w:p w14:paraId="2E5DCA7A" w14:textId="77777777" w:rsidR="001763FE" w:rsidRDefault="001763FE">
      <w:pPr>
        <w:spacing w:after="0" w:line="240" w:lineRule="auto"/>
        <w:ind w:left="720"/>
        <w:jc w:val="both"/>
        <w:rPr>
          <w:rFonts w:ascii="Arial" w:eastAsia="Arial" w:hAnsi="Arial" w:cs="Arial"/>
          <w:sz w:val="20"/>
          <w:szCs w:val="20"/>
        </w:rPr>
      </w:pPr>
    </w:p>
    <w:p w14:paraId="5F2D7A9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Trato Nacional:</w:t>
      </w:r>
      <w:r>
        <w:rPr>
          <w:rFonts w:ascii="Arial" w:eastAsia="Arial" w:hAnsi="Arial" w:cs="Arial"/>
          <w:sz w:val="20"/>
          <w:szCs w:val="20"/>
        </w:rPr>
        <w:t xml:space="preserve"> Principio según el cual un Estado concede a los nacionales de otro Estado el mismo trato que otorga a sus nacionales. </w:t>
      </w:r>
    </w:p>
    <w:p w14:paraId="6EC3FB1E" w14:textId="77777777" w:rsidR="001763FE" w:rsidRDefault="001763FE">
      <w:pPr>
        <w:spacing w:after="0" w:line="240" w:lineRule="auto"/>
        <w:ind w:left="720"/>
        <w:jc w:val="both"/>
        <w:rPr>
          <w:rFonts w:ascii="Arial" w:eastAsia="Arial" w:hAnsi="Arial" w:cs="Arial"/>
          <w:sz w:val="20"/>
          <w:szCs w:val="20"/>
        </w:rPr>
      </w:pPr>
    </w:p>
    <w:p w14:paraId="6F85A40F"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Unión Temporal:</w:t>
      </w:r>
      <w:r>
        <w:rPr>
          <w:rFonts w:ascii="Arial" w:eastAsia="Arial" w:hAnsi="Arial" w:cs="Arial"/>
          <w:sz w:val="20"/>
          <w:szCs w:val="20"/>
        </w:rPr>
        <w:t xml:space="preserve"> Forma asociativa en la cual dos o más personas presentan conjuntamente una misma propuesta para la adjudicación, celebración y ejecución de un Contrato, respondiendo solidariamente por el cumplimiento total de la propuesta y del objeto contratado, pero las sanciones por el incumplimiento de las obligaciones derivadas de la propuesta y del Contrato se imponen de acuerdo con la participación en la ejecución de cada uno de sus integrantes. </w:t>
      </w:r>
    </w:p>
    <w:p w14:paraId="74F3BE85" w14:textId="77777777" w:rsidR="001763FE" w:rsidRDefault="001763FE">
      <w:pPr>
        <w:spacing w:after="0" w:line="240" w:lineRule="auto"/>
        <w:ind w:left="720"/>
        <w:jc w:val="both"/>
        <w:rPr>
          <w:rFonts w:ascii="Arial" w:eastAsia="Arial" w:hAnsi="Arial" w:cs="Arial"/>
          <w:sz w:val="20"/>
          <w:szCs w:val="20"/>
        </w:rPr>
      </w:pPr>
    </w:p>
    <w:p w14:paraId="45E0E3E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Utilidad Operacional:</w:t>
      </w:r>
      <w:r>
        <w:rPr>
          <w:rFonts w:ascii="Arial" w:eastAsia="Arial" w:hAnsi="Arial" w:cs="Arial"/>
          <w:sz w:val="20"/>
          <w:szCs w:val="20"/>
        </w:rPr>
        <w:t xml:space="preserve"> Ingresos, costos y gastos operacionales relacionados directamente con el objeto social de la empresa o persona natural, con su actividad principal, dejando de lado los gastos e ingresos no operacionales, es decir, aquellos ingresos diferentes a los obtenidos en el desarrollo de la actividad principal de la empresa, ingresos que por lo general son ocasionales o que son accesorios a la actividad principal.</w:t>
      </w:r>
    </w:p>
    <w:p w14:paraId="5F9340C6" w14:textId="77777777" w:rsidR="001763FE" w:rsidRDefault="001763FE">
      <w:pPr>
        <w:spacing w:after="0" w:line="240" w:lineRule="auto"/>
        <w:ind w:left="720"/>
        <w:jc w:val="both"/>
        <w:rPr>
          <w:rFonts w:ascii="Arial" w:eastAsia="Arial" w:hAnsi="Arial" w:cs="Arial"/>
          <w:sz w:val="20"/>
          <w:szCs w:val="20"/>
        </w:rPr>
      </w:pPr>
    </w:p>
    <w:p w14:paraId="2F28C672"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Vigencia Fiscal:</w:t>
      </w:r>
      <w:r>
        <w:rPr>
          <w:rFonts w:ascii="Arial" w:eastAsia="Arial" w:hAnsi="Arial" w:cs="Arial"/>
          <w:sz w:val="20"/>
          <w:szCs w:val="20"/>
        </w:rPr>
        <w:t xml:space="preserve"> Período que comprende desde el 1 de enero hasta el 31 de diciembre de cada año.</w:t>
      </w:r>
    </w:p>
    <w:p w14:paraId="4A51C713" w14:textId="77777777" w:rsidR="001763FE" w:rsidRDefault="001763FE">
      <w:pPr>
        <w:spacing w:after="0" w:line="240" w:lineRule="auto"/>
        <w:ind w:left="720"/>
        <w:jc w:val="both"/>
        <w:rPr>
          <w:rFonts w:ascii="Arial" w:eastAsia="Arial" w:hAnsi="Arial" w:cs="Arial"/>
          <w:b/>
          <w:sz w:val="20"/>
          <w:szCs w:val="20"/>
        </w:rPr>
      </w:pPr>
    </w:p>
    <w:p w14:paraId="3E4EFE91" w14:textId="77777777" w:rsidR="001763FE" w:rsidRDefault="00000000">
      <w:pPr>
        <w:pStyle w:val="Ttulo1"/>
        <w:numPr>
          <w:ilvl w:val="0"/>
          <w:numId w:val="1"/>
        </w:numPr>
        <w:pBdr>
          <w:bottom w:val="single" w:sz="4" w:space="1" w:color="000000"/>
        </w:pBdr>
        <w:spacing w:before="0" w:line="240" w:lineRule="auto"/>
        <w:jc w:val="both"/>
      </w:pPr>
      <w:r>
        <w:t xml:space="preserve">GLOSARIO ESPECÍFICO TÉCNICO </w:t>
      </w:r>
    </w:p>
    <w:p w14:paraId="7788D245" w14:textId="77777777" w:rsidR="001763FE" w:rsidRDefault="001763FE">
      <w:pPr>
        <w:spacing w:after="0" w:line="240" w:lineRule="auto"/>
        <w:jc w:val="both"/>
        <w:rPr>
          <w:rFonts w:ascii="Arial" w:eastAsia="Arial" w:hAnsi="Arial" w:cs="Arial"/>
          <w:sz w:val="20"/>
          <w:szCs w:val="20"/>
        </w:rPr>
      </w:pPr>
    </w:p>
    <w:p w14:paraId="56F799DA" w14:textId="77777777" w:rsidR="001763FE" w:rsidRDefault="001763FE">
      <w:pPr>
        <w:spacing w:after="0" w:line="240" w:lineRule="auto"/>
        <w:jc w:val="both"/>
        <w:rPr>
          <w:rFonts w:ascii="Arial" w:eastAsia="Arial" w:hAnsi="Arial" w:cs="Arial"/>
          <w:sz w:val="20"/>
          <w:szCs w:val="20"/>
        </w:rPr>
      </w:pPr>
    </w:p>
    <w:p w14:paraId="73D6128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Acabados:</w:t>
      </w:r>
      <w:r>
        <w:rPr>
          <w:rFonts w:ascii="Arial" w:eastAsia="Arial" w:hAnsi="Arial" w:cs="Arial"/>
          <w:sz w:val="20"/>
          <w:szCs w:val="20"/>
        </w:rPr>
        <w:t xml:space="preserve"> Partes y componentes de una edificación que no hacen parte de la estructura o de su cimentación, es decir son elementos no estructurales. </w:t>
      </w:r>
    </w:p>
    <w:p w14:paraId="769229DF" w14:textId="77777777" w:rsidR="001763FE" w:rsidRDefault="001763FE">
      <w:pPr>
        <w:spacing w:after="0" w:line="240" w:lineRule="auto"/>
        <w:ind w:left="709"/>
        <w:jc w:val="both"/>
        <w:rPr>
          <w:rFonts w:ascii="Arial" w:eastAsia="Arial" w:hAnsi="Arial" w:cs="Arial"/>
          <w:b/>
          <w:sz w:val="20"/>
          <w:szCs w:val="20"/>
        </w:rPr>
      </w:pPr>
    </w:p>
    <w:p w14:paraId="605D45DF"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Accesibilidad: </w:t>
      </w:r>
      <w:r>
        <w:rPr>
          <w:rFonts w:ascii="Arial" w:eastAsia="Arial" w:hAnsi="Arial" w:cs="Arial"/>
          <w:sz w:val="20"/>
          <w:szCs w:val="20"/>
        </w:rPr>
        <w:t>Eliminación de barreras arquitectónicas, de comunicación, de transporte y de información, para permitir a una persona acceder a servicios de educación, de salud, de trabajo, a la vivienda, al deporte, la recreación, la cultura, el turismo y demás actividades desarrolladas por el ser humano.</w:t>
      </w:r>
    </w:p>
    <w:p w14:paraId="754E7192" w14:textId="77777777" w:rsidR="001763FE" w:rsidRDefault="001763FE">
      <w:pPr>
        <w:spacing w:after="0" w:line="240" w:lineRule="auto"/>
        <w:ind w:left="709"/>
        <w:jc w:val="both"/>
        <w:rPr>
          <w:rFonts w:ascii="Arial" w:eastAsia="Arial" w:hAnsi="Arial" w:cs="Arial"/>
          <w:b/>
          <w:sz w:val="20"/>
          <w:szCs w:val="20"/>
        </w:rPr>
      </w:pPr>
    </w:p>
    <w:p w14:paraId="5D67EE04"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Actualización Sísmica:</w:t>
      </w:r>
      <w:r>
        <w:rPr>
          <w:rFonts w:ascii="Arial" w:eastAsia="Arial" w:hAnsi="Arial" w:cs="Arial"/>
          <w:sz w:val="20"/>
          <w:szCs w:val="20"/>
        </w:rPr>
        <w:t xml:space="preserve"> Análisis total de la estructura desde las fundaciones, pasando por la subestructura y su conexión con la superestructura para que al realizar el análisis de vulnerabilidad sísmica se dé la actualización y cumplimiento a lo establecido en la sección A. 3.5 CARGAS POR SISMO del Código Colombiano de Diseño Sísmico de Puentes y el cumplimiento de las Normas Colombianas de Diseño y Construcción Sismo – Resistente. Los procesos constructivos involucran el estudio del espectro sísmico desde el componente geotécnico hasta la forma de implementar los conectores entre la superestructura y la subestructura. Estas actividades requieren del mantenimiento y reforzamiento previo de los elementos estructurales.</w:t>
      </w:r>
    </w:p>
    <w:p w14:paraId="7722F295" w14:textId="77777777" w:rsidR="001763FE" w:rsidRDefault="001763FE">
      <w:pPr>
        <w:spacing w:after="0" w:line="240" w:lineRule="auto"/>
        <w:ind w:left="720"/>
        <w:jc w:val="both"/>
        <w:rPr>
          <w:rFonts w:ascii="Arial" w:eastAsia="Arial" w:hAnsi="Arial" w:cs="Arial"/>
          <w:sz w:val="20"/>
          <w:szCs w:val="20"/>
        </w:rPr>
      </w:pPr>
    </w:p>
    <w:p w14:paraId="12C123E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Adecuación:</w:t>
      </w:r>
      <w:r>
        <w:rPr>
          <w:rFonts w:ascii="Arial" w:eastAsia="Arial" w:hAnsi="Arial" w:cs="Arial"/>
          <w:sz w:val="20"/>
          <w:szCs w:val="20"/>
        </w:rPr>
        <w:t xml:space="preserve"> Cambio de uso de una edificación, o parte de ella, garantizando la permanencia total o parcial del inmueble original. </w:t>
      </w:r>
    </w:p>
    <w:p w14:paraId="168A6235" w14:textId="77777777" w:rsidR="001763FE" w:rsidRDefault="001763FE">
      <w:pPr>
        <w:spacing w:after="0" w:line="240" w:lineRule="auto"/>
        <w:ind w:left="720"/>
        <w:jc w:val="both"/>
        <w:rPr>
          <w:rFonts w:ascii="Arial" w:eastAsia="Arial" w:hAnsi="Arial" w:cs="Arial"/>
          <w:b/>
          <w:sz w:val="20"/>
          <w:szCs w:val="20"/>
        </w:rPr>
      </w:pPr>
    </w:p>
    <w:p w14:paraId="55E63B35"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Alameda:</w:t>
      </w:r>
      <w:r>
        <w:rPr>
          <w:rFonts w:ascii="Arial" w:eastAsia="Arial" w:hAnsi="Arial" w:cs="Arial"/>
          <w:sz w:val="20"/>
          <w:szCs w:val="20"/>
        </w:rPr>
        <w:t xml:space="preserve"> Espacios constituidos por los bienes de uso público destinados al desplazamiento, uso y goce de los peatones y por los elementos arquitectónicos y naturales de los inmuebles de propiedad privada que se integran visualmente para conformar el espacio urbano. Tiene como soporte la red de andenes, cuya función principal es la conexión peatonal de los elementos simbólicos y representativos de la estructura urbana. </w:t>
      </w:r>
    </w:p>
    <w:p w14:paraId="7C7A43AE" w14:textId="77777777" w:rsidR="001763FE" w:rsidRDefault="001763FE">
      <w:pPr>
        <w:spacing w:after="0" w:line="240" w:lineRule="auto"/>
        <w:ind w:left="709"/>
        <w:jc w:val="both"/>
        <w:rPr>
          <w:rFonts w:ascii="Arial" w:eastAsia="Arial" w:hAnsi="Arial" w:cs="Arial"/>
          <w:b/>
          <w:sz w:val="20"/>
          <w:szCs w:val="20"/>
        </w:rPr>
      </w:pPr>
    </w:p>
    <w:p w14:paraId="79836BD5"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Almacenamiento o Acopio:</w:t>
      </w:r>
      <w:r>
        <w:rPr>
          <w:rFonts w:ascii="Arial" w:eastAsia="Arial" w:hAnsi="Arial" w:cs="Arial"/>
          <w:sz w:val="20"/>
          <w:szCs w:val="20"/>
        </w:rPr>
        <w:t xml:space="preserve"> Es la acción de colocar temporalmente los RCD en recipientes, depósitos contenedores retornables o desechables mientras se procesan para su </w:t>
      </w:r>
      <w:r>
        <w:rPr>
          <w:rFonts w:ascii="Arial" w:eastAsia="Arial" w:hAnsi="Arial" w:cs="Arial"/>
          <w:sz w:val="20"/>
          <w:szCs w:val="20"/>
        </w:rPr>
        <w:lastRenderedPageBreak/>
        <w:t>aprovechamiento, transformación, comercialización o se presentan al servicio de recolección para su tratamiento o disposición final.</w:t>
      </w:r>
    </w:p>
    <w:p w14:paraId="41CCD3B9" w14:textId="77777777" w:rsidR="001763FE" w:rsidRDefault="001763FE">
      <w:pPr>
        <w:spacing w:after="0" w:line="240" w:lineRule="auto"/>
        <w:ind w:left="709"/>
        <w:jc w:val="both"/>
        <w:rPr>
          <w:rFonts w:ascii="Arial" w:eastAsia="Arial" w:hAnsi="Arial" w:cs="Arial"/>
          <w:sz w:val="20"/>
          <w:szCs w:val="20"/>
        </w:rPr>
      </w:pPr>
    </w:p>
    <w:p w14:paraId="69E33818"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Aprovechamiento:</w:t>
      </w:r>
      <w:r>
        <w:rPr>
          <w:rFonts w:ascii="Arial" w:eastAsia="Arial" w:hAnsi="Arial" w:cs="Arial"/>
          <w:sz w:val="20"/>
          <w:szCs w:val="20"/>
        </w:rPr>
        <w:t xml:space="preserve"> Es el proceso mediante el cual, a través de la recuperación de los materiales provenientes de los residuos de construcción y demolición, se realiza su reincorporación al ciclo económico productivo en forma ambientalmente eficiente por medio de procesos como la reutilización y el reciclaje.</w:t>
      </w:r>
    </w:p>
    <w:p w14:paraId="4CEBF365" w14:textId="77777777" w:rsidR="001763FE" w:rsidRDefault="001763FE">
      <w:pPr>
        <w:spacing w:after="0" w:line="240" w:lineRule="auto"/>
        <w:ind w:left="720"/>
        <w:jc w:val="both"/>
        <w:rPr>
          <w:rFonts w:ascii="Arial" w:eastAsia="Arial" w:hAnsi="Arial" w:cs="Arial"/>
          <w:b/>
          <w:sz w:val="20"/>
          <w:szCs w:val="20"/>
        </w:rPr>
      </w:pPr>
    </w:p>
    <w:p w14:paraId="12E53B24"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Altura de la Edificación en la Colindancia:</w:t>
      </w:r>
      <w:r>
        <w:rPr>
          <w:rFonts w:ascii="Arial" w:eastAsia="Arial" w:hAnsi="Arial" w:cs="Arial"/>
          <w:sz w:val="20"/>
          <w:szCs w:val="20"/>
        </w:rPr>
        <w:t xml:space="preserve"> Suma de las alturas de pisos en la colindancia. </w:t>
      </w:r>
    </w:p>
    <w:p w14:paraId="7F1A988F" w14:textId="77777777" w:rsidR="001763FE" w:rsidRDefault="001763FE">
      <w:pPr>
        <w:spacing w:after="0" w:line="240" w:lineRule="auto"/>
        <w:ind w:left="720"/>
        <w:jc w:val="both"/>
        <w:rPr>
          <w:rFonts w:ascii="Arial" w:eastAsia="Arial" w:hAnsi="Arial" w:cs="Arial"/>
          <w:b/>
          <w:sz w:val="20"/>
          <w:szCs w:val="20"/>
        </w:rPr>
      </w:pPr>
    </w:p>
    <w:p w14:paraId="3A5BA6E7"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Amenaza de Ruina: </w:t>
      </w:r>
      <w:r>
        <w:rPr>
          <w:rFonts w:ascii="Arial" w:eastAsia="Arial" w:hAnsi="Arial" w:cs="Arial"/>
          <w:sz w:val="20"/>
          <w:szCs w:val="20"/>
        </w:rPr>
        <w:t>Deterioro, defecto o deficiencia de la edificación, entendida como unidad estructuralmente independiente, como consecuencia de fallas en los materiales, el diseño estructural, estudio geotécnico, construcción de la cimentación y/o construcción de la estructura, que impide su habitabilidad u ocupación debido al riesgo de pérdida de vidas. En este caso, se adelantará un análisis de vulnerabilidad que contenga un estudio de las fuerzas sísmicas, cargas gravitacionales y eólicas, para determinar si la estructura se ha visto afectada y se encuentra comprometida su seguridad en términos de sismorresistencia. Este estudio debe elaborarse de acuerdo con los requisitos que el Reglamento NSR-10 establece en su Capítulo A. 10, o la norma que lo adicione, modifique o sustituya, por profesionales con matrícula profesional vigente y facultados para ese fin por la Ley 400 de 1997 y sus reglamentos.</w:t>
      </w:r>
      <w:r>
        <w:rPr>
          <w:rFonts w:ascii="Arial" w:eastAsia="Arial" w:hAnsi="Arial" w:cs="Arial"/>
          <w:b/>
          <w:sz w:val="20"/>
          <w:szCs w:val="20"/>
        </w:rPr>
        <w:t xml:space="preserve">  </w:t>
      </w:r>
    </w:p>
    <w:p w14:paraId="691EB69F" w14:textId="77777777" w:rsidR="001763FE" w:rsidRDefault="001763FE">
      <w:pPr>
        <w:spacing w:after="0" w:line="240" w:lineRule="auto"/>
        <w:ind w:left="709"/>
        <w:jc w:val="both"/>
        <w:rPr>
          <w:rFonts w:ascii="Arial" w:eastAsia="Arial" w:hAnsi="Arial" w:cs="Arial"/>
          <w:b/>
          <w:sz w:val="20"/>
          <w:szCs w:val="20"/>
        </w:rPr>
      </w:pPr>
    </w:p>
    <w:p w14:paraId="5A50CF45"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Ampliación: </w:t>
      </w:r>
      <w:r>
        <w:rPr>
          <w:rFonts w:ascii="Arial" w:eastAsia="Arial" w:hAnsi="Arial" w:cs="Arial"/>
          <w:sz w:val="20"/>
          <w:szCs w:val="20"/>
        </w:rPr>
        <w:t>Actividades constructivas para incrementar el área construida de una edificación existente, entendiéndose por área construida la parte edificada que corresponde a la suma de las superficies de los pisos, excluyendo azoteas y áreas sin cubrir o techar.</w:t>
      </w:r>
    </w:p>
    <w:p w14:paraId="692C7E47" w14:textId="77777777" w:rsidR="001763FE" w:rsidRDefault="001763FE">
      <w:pPr>
        <w:spacing w:after="0" w:line="240" w:lineRule="auto"/>
        <w:ind w:left="720"/>
        <w:jc w:val="both"/>
        <w:rPr>
          <w:rFonts w:ascii="Arial" w:eastAsia="Arial" w:hAnsi="Arial" w:cs="Arial"/>
          <w:b/>
          <w:sz w:val="20"/>
          <w:szCs w:val="20"/>
        </w:rPr>
      </w:pPr>
    </w:p>
    <w:p w14:paraId="6AF55F6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Andén o Acera:</w:t>
      </w:r>
      <w:r>
        <w:rPr>
          <w:rFonts w:ascii="Arial" w:eastAsia="Arial" w:hAnsi="Arial" w:cs="Arial"/>
          <w:sz w:val="20"/>
          <w:szCs w:val="20"/>
        </w:rPr>
        <w:t xml:space="preserve"> Franjas de espacio público construido paralelas a las calzadas vehiculares de las vías públicas, destinadas al tránsito de peatones, de personas con movilidad reducida y animales.</w:t>
      </w:r>
    </w:p>
    <w:p w14:paraId="625ADF8B" w14:textId="77777777" w:rsidR="001763FE" w:rsidRDefault="001763FE">
      <w:pPr>
        <w:spacing w:after="0" w:line="240" w:lineRule="auto"/>
        <w:ind w:left="720"/>
        <w:jc w:val="both"/>
        <w:rPr>
          <w:rFonts w:ascii="Arial" w:eastAsia="Arial" w:hAnsi="Arial" w:cs="Arial"/>
          <w:sz w:val="20"/>
          <w:szCs w:val="20"/>
        </w:rPr>
      </w:pPr>
    </w:p>
    <w:p w14:paraId="533EB694"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Área Clasificada: </w:t>
      </w:r>
      <w:r>
        <w:rPr>
          <w:rFonts w:ascii="Arial" w:eastAsia="Arial" w:hAnsi="Arial" w:cs="Arial"/>
          <w:sz w:val="20"/>
          <w:szCs w:val="20"/>
        </w:rPr>
        <w:t xml:space="preserve">Lugares localizados en ambientes clasificados como peligrosos, con alta concentración de personas o que alimentan equipos o sistemas complejos. </w:t>
      </w:r>
    </w:p>
    <w:p w14:paraId="27EF38DD" w14:textId="77777777" w:rsidR="001763FE" w:rsidRDefault="001763FE">
      <w:pPr>
        <w:spacing w:after="0" w:line="240" w:lineRule="auto"/>
        <w:ind w:left="720"/>
        <w:jc w:val="both"/>
        <w:rPr>
          <w:rFonts w:ascii="Arial" w:eastAsia="Arial" w:hAnsi="Arial" w:cs="Arial"/>
          <w:b/>
          <w:sz w:val="20"/>
          <w:szCs w:val="20"/>
        </w:rPr>
      </w:pPr>
    </w:p>
    <w:p w14:paraId="1F653BBF"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Área Libre:</w:t>
      </w:r>
      <w:r>
        <w:rPr>
          <w:rFonts w:ascii="Arial" w:eastAsia="Arial" w:hAnsi="Arial" w:cs="Arial"/>
          <w:sz w:val="20"/>
          <w:szCs w:val="20"/>
        </w:rPr>
        <w:t xml:space="preserve"> Espacio resultante de restar del área total del predio (descontando cesiones) el área construida cubierta en primer piso. </w:t>
      </w:r>
    </w:p>
    <w:p w14:paraId="09B1D07A" w14:textId="77777777" w:rsidR="001763FE" w:rsidRDefault="001763FE">
      <w:pPr>
        <w:spacing w:after="0" w:line="240" w:lineRule="auto"/>
        <w:ind w:left="720"/>
        <w:jc w:val="both"/>
        <w:rPr>
          <w:rFonts w:ascii="Arial" w:eastAsia="Arial" w:hAnsi="Arial" w:cs="Arial"/>
          <w:b/>
          <w:sz w:val="20"/>
          <w:szCs w:val="20"/>
        </w:rPr>
      </w:pPr>
    </w:p>
    <w:p w14:paraId="059793BE"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Barreras arquitectónicas: </w:t>
      </w:r>
      <w:r>
        <w:rPr>
          <w:rFonts w:ascii="Arial" w:eastAsia="Arial" w:hAnsi="Arial" w:cs="Arial"/>
          <w:sz w:val="20"/>
          <w:szCs w:val="20"/>
        </w:rPr>
        <w:t>Son los impedimentos al libre desplazamiento de las personas, que se presentan al interior de las edificaciones.</w:t>
      </w:r>
    </w:p>
    <w:p w14:paraId="230B9513" w14:textId="77777777" w:rsidR="001763FE" w:rsidRDefault="001763FE">
      <w:pPr>
        <w:spacing w:after="0" w:line="240" w:lineRule="auto"/>
        <w:ind w:left="709"/>
        <w:jc w:val="both"/>
      </w:pPr>
    </w:p>
    <w:p w14:paraId="0E62C476"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Bien de Interés Cultural:</w:t>
      </w:r>
      <w:r>
        <w:rPr>
          <w:rFonts w:ascii="Arial" w:eastAsia="Arial" w:hAnsi="Arial" w:cs="Arial"/>
          <w:sz w:val="20"/>
          <w:szCs w:val="20"/>
        </w:rPr>
        <w:t xml:space="preserve"> Todos aquellos bienes declarados de interés cultural por la autoridad competente, en razón del interés especial que el bien revista para la comunidad en todo el territorio nacional o en una división territorial determinada.</w:t>
      </w:r>
    </w:p>
    <w:p w14:paraId="7E178C13" w14:textId="77777777" w:rsidR="001763FE" w:rsidRDefault="001763FE">
      <w:pPr>
        <w:pBdr>
          <w:top w:val="nil"/>
          <w:left w:val="nil"/>
          <w:bottom w:val="nil"/>
          <w:right w:val="nil"/>
          <w:between w:val="nil"/>
        </w:pBdr>
        <w:ind w:left="720"/>
        <w:rPr>
          <w:rFonts w:ascii="Arial" w:eastAsia="Arial" w:hAnsi="Arial" w:cs="Arial"/>
          <w:b/>
          <w:color w:val="000000"/>
          <w:sz w:val="20"/>
          <w:szCs w:val="20"/>
        </w:rPr>
      </w:pPr>
    </w:p>
    <w:p w14:paraId="6865B15B"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Campo Deportivo: </w:t>
      </w:r>
      <w:r>
        <w:rPr>
          <w:rFonts w:ascii="Arial" w:eastAsia="Arial" w:hAnsi="Arial" w:cs="Arial"/>
          <w:sz w:val="20"/>
          <w:szCs w:val="20"/>
        </w:rPr>
        <w:t>Se denomina campo deportivo a todo terreno delimitado especialmente para la práctica de un deporte. Es común entre los que se practican en equipo como el fútbol, béisbol, rugby; aunque también se denomina de igual manera los que se practican individualmente como el golf.</w:t>
      </w:r>
    </w:p>
    <w:p w14:paraId="2051E506" w14:textId="77777777" w:rsidR="001763FE" w:rsidRDefault="001763FE">
      <w:pPr>
        <w:pBdr>
          <w:top w:val="nil"/>
          <w:left w:val="nil"/>
          <w:bottom w:val="nil"/>
          <w:right w:val="nil"/>
          <w:between w:val="nil"/>
        </w:pBdr>
        <w:spacing w:after="0"/>
        <w:ind w:left="720"/>
        <w:rPr>
          <w:rFonts w:ascii="Arial" w:eastAsia="Arial" w:hAnsi="Arial" w:cs="Arial"/>
          <w:color w:val="000000"/>
          <w:sz w:val="20"/>
          <w:szCs w:val="20"/>
        </w:rPr>
      </w:pPr>
    </w:p>
    <w:p w14:paraId="00CBDF6A" w14:textId="77777777" w:rsidR="001763FE" w:rsidRDefault="00000000">
      <w:pPr>
        <w:widowControl w:val="0"/>
        <w:numPr>
          <w:ilvl w:val="0"/>
          <w:numId w:val="2"/>
        </w:numPr>
        <w:pBdr>
          <w:top w:val="nil"/>
          <w:left w:val="nil"/>
          <w:bottom w:val="nil"/>
          <w:right w:val="nil"/>
          <w:between w:val="nil"/>
        </w:pBdr>
        <w:spacing w:after="0" w:line="228" w:lineRule="auto"/>
        <w:ind w:left="993" w:right="474"/>
        <w:jc w:val="both"/>
        <w:rPr>
          <w:rFonts w:ascii="Arial" w:eastAsia="Arial" w:hAnsi="Arial" w:cs="Arial"/>
          <w:color w:val="000000"/>
          <w:sz w:val="20"/>
          <w:szCs w:val="20"/>
        </w:rPr>
      </w:pPr>
      <w:r>
        <w:rPr>
          <w:rFonts w:ascii="Arial" w:eastAsia="Arial" w:hAnsi="Arial" w:cs="Arial"/>
          <w:b/>
          <w:color w:val="000000"/>
          <w:sz w:val="20"/>
          <w:szCs w:val="20"/>
        </w:rPr>
        <w:t>Campo Deportivo en Grama Natural:</w:t>
      </w:r>
      <w:r>
        <w:rPr>
          <w:rFonts w:ascii="Arial" w:eastAsia="Arial" w:hAnsi="Arial" w:cs="Arial"/>
          <w:color w:val="000000"/>
          <w:sz w:val="20"/>
          <w:szCs w:val="20"/>
        </w:rPr>
        <w:t xml:space="preserve"> Un campo deportivo cuyo acabado es en una gramínea natural, cuyo cuidado y mantenimiento permite la práctica deportiva.</w:t>
      </w:r>
    </w:p>
    <w:p w14:paraId="28469CE2" w14:textId="77777777" w:rsidR="001763FE" w:rsidRDefault="001763FE">
      <w:pPr>
        <w:widowControl w:val="0"/>
        <w:pBdr>
          <w:top w:val="nil"/>
          <w:left w:val="nil"/>
          <w:bottom w:val="nil"/>
          <w:right w:val="nil"/>
          <w:between w:val="nil"/>
        </w:pBdr>
        <w:spacing w:before="14" w:after="0" w:line="228" w:lineRule="auto"/>
        <w:ind w:left="993" w:right="474"/>
        <w:jc w:val="both"/>
        <w:rPr>
          <w:rFonts w:ascii="Arial" w:eastAsia="Arial" w:hAnsi="Arial" w:cs="Arial"/>
          <w:color w:val="000000"/>
          <w:sz w:val="20"/>
          <w:szCs w:val="20"/>
        </w:rPr>
      </w:pPr>
    </w:p>
    <w:p w14:paraId="37FD467F" w14:textId="77777777" w:rsidR="001763FE" w:rsidRDefault="00000000">
      <w:pPr>
        <w:widowControl w:val="0"/>
        <w:numPr>
          <w:ilvl w:val="0"/>
          <w:numId w:val="2"/>
        </w:numPr>
        <w:pBdr>
          <w:top w:val="nil"/>
          <w:left w:val="nil"/>
          <w:bottom w:val="nil"/>
          <w:right w:val="nil"/>
          <w:between w:val="nil"/>
        </w:pBdr>
        <w:spacing w:before="14" w:after="0" w:line="228" w:lineRule="auto"/>
        <w:ind w:left="993" w:right="474"/>
        <w:jc w:val="both"/>
        <w:rPr>
          <w:rFonts w:ascii="Arial" w:eastAsia="Arial" w:hAnsi="Arial" w:cs="Arial"/>
          <w:color w:val="000000"/>
          <w:sz w:val="20"/>
          <w:szCs w:val="20"/>
        </w:rPr>
      </w:pPr>
      <w:r>
        <w:rPr>
          <w:rFonts w:ascii="Arial" w:eastAsia="Arial" w:hAnsi="Arial" w:cs="Arial"/>
          <w:b/>
          <w:color w:val="000000"/>
          <w:sz w:val="20"/>
          <w:szCs w:val="20"/>
        </w:rPr>
        <w:t>Campo Deportivo en Grama Sintética:</w:t>
      </w:r>
      <w:r>
        <w:rPr>
          <w:rFonts w:ascii="Arial" w:eastAsia="Arial" w:hAnsi="Arial" w:cs="Arial"/>
          <w:color w:val="000000"/>
          <w:sz w:val="20"/>
          <w:szCs w:val="20"/>
        </w:rPr>
        <w:t xml:space="preserve"> Un campo deportivo cuyo acabado es en una grama sintética, cuyo cuidado y mantenimiento permite la práctica deportiva.</w:t>
      </w:r>
    </w:p>
    <w:p w14:paraId="0A86448E" w14:textId="77777777" w:rsidR="001763FE" w:rsidRDefault="001763FE">
      <w:pPr>
        <w:pBdr>
          <w:top w:val="nil"/>
          <w:left w:val="nil"/>
          <w:bottom w:val="nil"/>
          <w:right w:val="nil"/>
          <w:between w:val="nil"/>
        </w:pBdr>
        <w:ind w:left="720"/>
        <w:rPr>
          <w:rFonts w:ascii="Arial" w:eastAsia="Arial" w:hAnsi="Arial" w:cs="Arial"/>
          <w:color w:val="000000"/>
          <w:sz w:val="20"/>
          <w:szCs w:val="20"/>
        </w:rPr>
      </w:pPr>
    </w:p>
    <w:p w14:paraId="5C009F40"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lastRenderedPageBreak/>
        <w:t xml:space="preserve">Campo de Fútbol: </w:t>
      </w:r>
      <w:r>
        <w:rPr>
          <w:rFonts w:ascii="Arial" w:eastAsia="Arial" w:hAnsi="Arial" w:cs="Arial"/>
          <w:sz w:val="20"/>
          <w:szCs w:val="20"/>
        </w:rPr>
        <w:t>El fútbol (del inglés británico football, traducido como balompié) es un deporte de equipo jugado entre dos conjuntos de once jugadores cada uno y algunos árbitros que se ocupan de que las normas se cumplan correctamente. Es ampliamente considerado el deporte más popular del mundo, pues lo practican en promedio 270 millones de personas. También se le conoce como futbol asociación o fútbol asociación, nombre derivado de The Football Association, primera federación oficial del mundo en este deporte y que utilizó ese nombre para distinguirlo de otros deportes que incluyen la palabra "futbol" o "fútbol". 5. En algunos países de habla inglesa también se le conoce como soccer, abreviatura de association, puesto que el nombre de football en esos países se asocia mayoritariamente a otros deportes con esa denominación (principalmente en Estados Unidos donde el nombre football aplica para el fútbol americano, un deporte totalmente distinto). El terreno de juego es rectangular de césped natural o artificial, con una portería o arco a cada lado del campo. Se juega mediante una pelota que se debe desplazar a través del campo con cualquier parte del cuerpo que no sean los brazos o las manos, y mayoritariamente con los pies (de ahí su nombre). El objetivo es introducirla dentro de la portería o arco contrario, acción que se denomina marcar un gol. El equipo que logre más goles al cabo del partido, de una duración de 90 minutos, es el que resulta ganador del encuentro. (fuente Wikipedia).</w:t>
      </w:r>
    </w:p>
    <w:p w14:paraId="1EEA45C6" w14:textId="77777777" w:rsidR="001763FE" w:rsidRDefault="001763FE">
      <w:pPr>
        <w:spacing w:after="0" w:line="240" w:lineRule="auto"/>
        <w:ind w:left="709"/>
        <w:jc w:val="both"/>
        <w:rPr>
          <w:rFonts w:ascii="Arial" w:eastAsia="Arial" w:hAnsi="Arial" w:cs="Arial"/>
          <w:sz w:val="20"/>
          <w:szCs w:val="20"/>
        </w:rPr>
      </w:pPr>
    </w:p>
    <w:p w14:paraId="1C83898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Campo Profesional: </w:t>
      </w:r>
      <w:r>
        <w:rPr>
          <w:rFonts w:ascii="Arial" w:eastAsia="Arial" w:hAnsi="Arial" w:cs="Arial"/>
          <w:sz w:val="20"/>
          <w:szCs w:val="20"/>
        </w:rPr>
        <w:t>Campos de fútbol profesional para efectos de este proceso de selección se entienden como cualquier campo de fútbol en grama natural ubicado en un estadio en el cual se desarrollen torneos profesionales del rentado nacional o internacional, con riego profesional y drenajes.</w:t>
      </w:r>
    </w:p>
    <w:p w14:paraId="7D3F0C20" w14:textId="77777777" w:rsidR="001763FE" w:rsidRDefault="001763FE">
      <w:pPr>
        <w:rPr>
          <w:rFonts w:ascii="Arial" w:eastAsia="Arial" w:hAnsi="Arial" w:cs="Arial"/>
          <w:b/>
          <w:sz w:val="20"/>
          <w:szCs w:val="20"/>
        </w:rPr>
      </w:pPr>
    </w:p>
    <w:p w14:paraId="76C127E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Cancha Múltiple:</w:t>
      </w:r>
      <w:r>
        <w:rPr>
          <w:rFonts w:ascii="Arial" w:eastAsia="Arial" w:hAnsi="Arial" w:cs="Arial"/>
          <w:sz w:val="20"/>
          <w:szCs w:val="20"/>
        </w:rPr>
        <w:t xml:space="preserve"> Espacio deportivo al aire libre o bajo techo que permite la práctica de diferentes deportes de equipo, como son: fútbol, baloncesto, voleibol, dentro de un área determinada para este propósito. Son instaladas con la finalidad de lograr aprovechar y optimizar al máximo el espacio disponible permitiendo a los usuarios practicar varios deportes con comodidad y seguridad. </w:t>
      </w:r>
    </w:p>
    <w:p w14:paraId="6B24A18E" w14:textId="77777777" w:rsidR="001763FE" w:rsidRDefault="001763FE">
      <w:pPr>
        <w:spacing w:after="0" w:line="240" w:lineRule="auto"/>
        <w:ind w:left="720"/>
        <w:jc w:val="both"/>
        <w:rPr>
          <w:rFonts w:ascii="Arial" w:eastAsia="Arial" w:hAnsi="Arial" w:cs="Arial"/>
          <w:b/>
          <w:sz w:val="20"/>
          <w:szCs w:val="20"/>
        </w:rPr>
      </w:pPr>
    </w:p>
    <w:p w14:paraId="7756C04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Canchas o Campos Deportivos:</w:t>
      </w:r>
      <w:r>
        <w:rPr>
          <w:rFonts w:ascii="Arial" w:eastAsia="Arial" w:hAnsi="Arial" w:cs="Arial"/>
          <w:sz w:val="20"/>
          <w:szCs w:val="20"/>
        </w:rPr>
        <w:t xml:space="preserve"> Edificaciones deportivas cubiertas o al aire libre que permiten instalar espacios para la práctica de deportes individuales o de conjunto que requieren menores instalaciones y áreas complementarias para las necesidades técnicas y logísticas. Estos espacios son para un solo deporte y requieren precisión en las características técnicas de las áreas de competencia. </w:t>
      </w:r>
    </w:p>
    <w:p w14:paraId="561BD2E3" w14:textId="77777777" w:rsidR="001763FE" w:rsidRDefault="001763FE">
      <w:pPr>
        <w:spacing w:after="0"/>
        <w:rPr>
          <w:rFonts w:ascii="Arial" w:eastAsia="Arial" w:hAnsi="Arial" w:cs="Arial"/>
          <w:b/>
          <w:sz w:val="20"/>
          <w:szCs w:val="20"/>
        </w:rPr>
      </w:pPr>
    </w:p>
    <w:p w14:paraId="04763FFC"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Canchas sintéticas: </w:t>
      </w:r>
      <w:r>
        <w:rPr>
          <w:rFonts w:ascii="Arial" w:eastAsia="Arial" w:hAnsi="Arial" w:cs="Arial"/>
          <w:sz w:val="20"/>
          <w:szCs w:val="20"/>
        </w:rPr>
        <w:t xml:space="preserve">Edificaciones deportivas cubiertas o al aire libre que permiten instalar espacios para la práctica de deportes individuales o de conjunto que requieren menores instalaciones y áreas complementarias para las necesidades técnicas y logística construidas en grama sintética o artificial. </w:t>
      </w:r>
    </w:p>
    <w:p w14:paraId="47816124" w14:textId="77777777" w:rsidR="001763FE" w:rsidRDefault="001763FE">
      <w:pPr>
        <w:spacing w:after="0" w:line="240" w:lineRule="auto"/>
        <w:ind w:left="709"/>
        <w:jc w:val="both"/>
        <w:rPr>
          <w:rFonts w:ascii="Arial" w:eastAsia="Arial" w:hAnsi="Arial" w:cs="Arial"/>
          <w:b/>
          <w:sz w:val="20"/>
          <w:szCs w:val="20"/>
        </w:rPr>
      </w:pPr>
    </w:p>
    <w:p w14:paraId="49787D9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Casas de Cultura: </w:t>
      </w:r>
      <w:r>
        <w:rPr>
          <w:rFonts w:ascii="Arial" w:eastAsia="Arial" w:hAnsi="Arial" w:cs="Arial"/>
          <w:sz w:val="20"/>
          <w:szCs w:val="20"/>
        </w:rPr>
        <w:t>Son instituciones municipales orientadas al fortalecimiento de la cultura de las comunidades desde procesos de pedagogía social. Son centros dinamizadores de la vida cultural y social de las comunidades, que involucran a toda la población.</w:t>
      </w:r>
    </w:p>
    <w:p w14:paraId="2E75F533" w14:textId="77777777" w:rsidR="001763FE" w:rsidRDefault="001763FE">
      <w:pPr>
        <w:spacing w:after="0" w:line="240" w:lineRule="auto"/>
        <w:jc w:val="both"/>
        <w:rPr>
          <w:rFonts w:ascii="Arial" w:eastAsia="Arial" w:hAnsi="Arial" w:cs="Arial"/>
          <w:b/>
          <w:sz w:val="20"/>
          <w:szCs w:val="20"/>
        </w:rPr>
      </w:pPr>
    </w:p>
    <w:p w14:paraId="7E4C70FA"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Cemento:</w:t>
      </w:r>
      <w:r>
        <w:rPr>
          <w:rFonts w:ascii="Arial" w:eastAsia="Arial" w:hAnsi="Arial" w:cs="Arial"/>
          <w:sz w:val="20"/>
          <w:szCs w:val="20"/>
        </w:rPr>
        <w:t xml:space="preserve"> </w:t>
      </w:r>
      <w:r>
        <w:rPr>
          <w:rFonts w:ascii="Arial" w:eastAsia="Arial" w:hAnsi="Arial" w:cs="Arial"/>
          <w:color w:val="000000"/>
          <w:sz w:val="20"/>
          <w:szCs w:val="20"/>
          <w:highlight w:val="white"/>
        </w:rPr>
        <w:t>Mezcla formada de arcilla y materiales calcáreos, sometida a cocción y muy finamente molida, que mezclada con agua se solidifica y endurece.</w:t>
      </w:r>
    </w:p>
    <w:p w14:paraId="559723A6" w14:textId="77777777" w:rsidR="001763FE" w:rsidRDefault="001763FE">
      <w:pPr>
        <w:spacing w:after="0" w:line="240" w:lineRule="auto"/>
        <w:jc w:val="both"/>
      </w:pPr>
    </w:p>
    <w:p w14:paraId="223F88AC"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Centro de Acopio</w:t>
      </w:r>
      <w:r>
        <w:rPr>
          <w:rFonts w:ascii="Arial" w:eastAsia="Arial" w:hAnsi="Arial" w:cs="Arial"/>
          <w:sz w:val="20"/>
          <w:szCs w:val="20"/>
        </w:rPr>
        <w:t>: Lugar donde los residuos sólidos son almacenados y/o separados y clasificados según su potencial de reúso o transformación.</w:t>
      </w:r>
    </w:p>
    <w:p w14:paraId="7A6B0180" w14:textId="77777777" w:rsidR="001763FE" w:rsidRDefault="001763FE">
      <w:pPr>
        <w:spacing w:after="0" w:line="240" w:lineRule="auto"/>
        <w:ind w:left="709"/>
        <w:jc w:val="both"/>
        <w:rPr>
          <w:rFonts w:ascii="Arial" w:eastAsia="Arial" w:hAnsi="Arial" w:cs="Arial"/>
          <w:sz w:val="20"/>
          <w:szCs w:val="20"/>
        </w:rPr>
      </w:pPr>
    </w:p>
    <w:p w14:paraId="76259597"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Centros de Tratamiento y/o Aprovechamiento:</w:t>
      </w:r>
      <w:r>
        <w:rPr>
          <w:rFonts w:ascii="Arial" w:eastAsia="Arial" w:hAnsi="Arial" w:cs="Arial"/>
          <w:sz w:val="20"/>
          <w:szCs w:val="20"/>
        </w:rPr>
        <w:t xml:space="preserve"> Sitios en donde se podrán realizar actividades de separación, clasificación, tratamiento y almacenamiento temporal de los escombros implementando las medidas ambientales que manejen los impactos generados. Los Centros de tratamiento y/o aprovechamiento, pueden ser: </w:t>
      </w:r>
    </w:p>
    <w:p w14:paraId="1AE8B912" w14:textId="77777777" w:rsidR="001763FE" w:rsidRDefault="001763FE">
      <w:pPr>
        <w:spacing w:after="0" w:line="240" w:lineRule="auto"/>
        <w:jc w:val="both"/>
        <w:rPr>
          <w:rFonts w:ascii="Arial" w:eastAsia="Arial" w:hAnsi="Arial" w:cs="Arial"/>
          <w:sz w:val="20"/>
          <w:szCs w:val="20"/>
        </w:rPr>
      </w:pPr>
    </w:p>
    <w:p w14:paraId="6D109AB6"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b/>
          <w:sz w:val="20"/>
          <w:szCs w:val="20"/>
        </w:rPr>
        <w:t>Fijos:</w:t>
      </w:r>
      <w:r>
        <w:rPr>
          <w:rFonts w:ascii="Arial" w:eastAsia="Arial" w:hAnsi="Arial" w:cs="Arial"/>
          <w:sz w:val="20"/>
          <w:szCs w:val="20"/>
        </w:rPr>
        <w:t xml:space="preserve"> Son instalaciones que funcionan al interior de un predio cerrado, cuya maquinaria se encuentra fija. </w:t>
      </w:r>
    </w:p>
    <w:p w14:paraId="310C3AA5" w14:textId="77777777" w:rsidR="001763FE" w:rsidRDefault="001763FE">
      <w:pPr>
        <w:spacing w:after="0" w:line="240" w:lineRule="auto"/>
        <w:ind w:left="709"/>
        <w:jc w:val="both"/>
        <w:rPr>
          <w:rFonts w:ascii="Arial" w:eastAsia="Arial" w:hAnsi="Arial" w:cs="Arial"/>
          <w:sz w:val="20"/>
          <w:szCs w:val="20"/>
        </w:rPr>
      </w:pPr>
    </w:p>
    <w:p w14:paraId="3D328F74"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b/>
          <w:sz w:val="20"/>
          <w:szCs w:val="20"/>
        </w:rPr>
        <w:t>Móviles:</w:t>
      </w:r>
      <w:r>
        <w:rPr>
          <w:rFonts w:ascii="Arial" w:eastAsia="Arial" w:hAnsi="Arial" w:cs="Arial"/>
          <w:sz w:val="20"/>
          <w:szCs w:val="20"/>
        </w:rPr>
        <w:t xml:space="preserve"> Son instalaciones y maquinarias que están acondicionadas para el desplazamiento a los sitios de generación de los escombros.</w:t>
      </w:r>
    </w:p>
    <w:p w14:paraId="57B621DE" w14:textId="77777777" w:rsidR="001763FE" w:rsidRDefault="001763FE">
      <w:pPr>
        <w:spacing w:after="0" w:line="240" w:lineRule="auto"/>
        <w:ind w:left="709"/>
        <w:jc w:val="both"/>
        <w:rPr>
          <w:rFonts w:ascii="Arial" w:eastAsia="Arial" w:hAnsi="Arial" w:cs="Arial"/>
          <w:b/>
          <w:sz w:val="20"/>
          <w:szCs w:val="20"/>
        </w:rPr>
      </w:pPr>
    </w:p>
    <w:p w14:paraId="013E1B7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Centro Histórico: </w:t>
      </w:r>
      <w:r>
        <w:rPr>
          <w:rFonts w:ascii="Arial" w:eastAsia="Arial" w:hAnsi="Arial" w:cs="Arial"/>
          <w:sz w:val="20"/>
          <w:szCs w:val="20"/>
        </w:rPr>
        <w:t xml:space="preserve">Corresponde al núcleo urbano original de planeación y construcción de la ciudad que cuenta con un valor cultural, social y turístico reconocido. Se caracteriza por contener inmuebles vinculados con la historia y la memoria de la ciudad, y por tanto particular en cuanto al patrimonio histórico. </w:t>
      </w:r>
    </w:p>
    <w:p w14:paraId="46B15C15" w14:textId="77777777" w:rsidR="001763FE" w:rsidRDefault="001763FE">
      <w:pPr>
        <w:spacing w:after="0" w:line="240" w:lineRule="auto"/>
        <w:ind w:left="720"/>
        <w:jc w:val="both"/>
        <w:rPr>
          <w:rFonts w:ascii="Arial" w:eastAsia="Arial" w:hAnsi="Arial" w:cs="Arial"/>
          <w:sz w:val="20"/>
          <w:szCs w:val="20"/>
        </w:rPr>
      </w:pPr>
    </w:p>
    <w:p w14:paraId="1D266B06"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Cerramiento:</w:t>
      </w:r>
      <w:r>
        <w:rPr>
          <w:rFonts w:ascii="Arial" w:eastAsia="Arial" w:hAnsi="Arial" w:cs="Arial"/>
          <w:sz w:val="20"/>
          <w:szCs w:val="20"/>
        </w:rPr>
        <w:t xml:space="preserve"> Muro localizado en el paramento del lote de terreno y que se encuentra separado de la edificación en la dirección perpendicular al paramento del lote de terreno, que no hace parte del sistema estructural de soporte de la edificación y cuya altura no exceda 4 metros. </w:t>
      </w:r>
    </w:p>
    <w:p w14:paraId="65E47881" w14:textId="77777777" w:rsidR="001763FE" w:rsidRDefault="001763FE">
      <w:pPr>
        <w:spacing w:after="0" w:line="240" w:lineRule="auto"/>
        <w:ind w:left="720"/>
        <w:jc w:val="both"/>
        <w:rPr>
          <w:rFonts w:ascii="Arial" w:eastAsia="Arial" w:hAnsi="Arial" w:cs="Arial"/>
          <w:sz w:val="20"/>
          <w:szCs w:val="20"/>
        </w:rPr>
      </w:pPr>
    </w:p>
    <w:p w14:paraId="08EFD6F7"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Ciclorruta:</w:t>
      </w:r>
      <w:r>
        <w:rPr>
          <w:rFonts w:ascii="Arial" w:eastAsia="Arial" w:hAnsi="Arial" w:cs="Arial"/>
          <w:sz w:val="20"/>
          <w:szCs w:val="20"/>
        </w:rPr>
        <w:t xml:space="preserve"> Calzada destinada de manera permanente a la circulación de bicicletas, ubicada en el andén, el separador o segregada de la calzada vehicular o en otros lugares autorizados, debidamente señalizada y delimitada.</w:t>
      </w:r>
    </w:p>
    <w:p w14:paraId="74167CFF" w14:textId="77777777" w:rsidR="001763FE" w:rsidRDefault="001763FE">
      <w:pPr>
        <w:spacing w:after="0" w:line="240" w:lineRule="auto"/>
        <w:ind w:left="720"/>
        <w:jc w:val="both"/>
        <w:rPr>
          <w:rFonts w:ascii="Arial" w:eastAsia="Arial" w:hAnsi="Arial" w:cs="Arial"/>
          <w:sz w:val="20"/>
          <w:szCs w:val="20"/>
        </w:rPr>
      </w:pPr>
    </w:p>
    <w:p w14:paraId="1DC6367A"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Ciclovía:</w:t>
      </w:r>
      <w:r>
        <w:rPr>
          <w:rFonts w:ascii="Arial" w:eastAsia="Arial" w:hAnsi="Arial" w:cs="Arial"/>
          <w:sz w:val="20"/>
          <w:szCs w:val="20"/>
        </w:rPr>
        <w:t xml:space="preserve"> Vía o sección de calzada destinada ocasionalmente para el tránsito de bicicletas, triciclos, peatones y animales.</w:t>
      </w:r>
    </w:p>
    <w:p w14:paraId="5824B91D" w14:textId="77777777" w:rsidR="001763FE" w:rsidRDefault="001763FE">
      <w:pPr>
        <w:spacing w:after="0" w:line="240" w:lineRule="auto"/>
        <w:ind w:left="720"/>
        <w:jc w:val="both"/>
        <w:rPr>
          <w:rFonts w:ascii="Arial" w:eastAsia="Arial" w:hAnsi="Arial" w:cs="Arial"/>
          <w:sz w:val="20"/>
          <w:szCs w:val="20"/>
        </w:rPr>
      </w:pPr>
    </w:p>
    <w:p w14:paraId="13DE82BA"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Coliseo:</w:t>
      </w:r>
      <w:r>
        <w:rPr>
          <w:rFonts w:ascii="Arial" w:eastAsia="Arial" w:hAnsi="Arial" w:cs="Arial"/>
          <w:sz w:val="20"/>
          <w:szCs w:val="20"/>
        </w:rPr>
        <w:t xml:space="preserve"> Edificación destinada a la instalación de áreas deportivas cubiertas que pueden usarse para la práctica de deportes, pero esencialmente se usan para competencia deportiva. </w:t>
      </w:r>
    </w:p>
    <w:p w14:paraId="5A49D057" w14:textId="77777777" w:rsidR="001763FE" w:rsidRDefault="001763FE">
      <w:pPr>
        <w:spacing w:after="0" w:line="240" w:lineRule="auto"/>
        <w:ind w:left="720"/>
        <w:jc w:val="both"/>
        <w:rPr>
          <w:rFonts w:ascii="Arial" w:eastAsia="Arial" w:hAnsi="Arial" w:cs="Arial"/>
          <w:sz w:val="20"/>
          <w:szCs w:val="20"/>
        </w:rPr>
      </w:pPr>
    </w:p>
    <w:p w14:paraId="5CCA9157"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Complejo Deportivo:</w:t>
      </w:r>
      <w:r>
        <w:rPr>
          <w:rFonts w:ascii="Arial" w:eastAsia="Arial" w:hAnsi="Arial" w:cs="Arial"/>
          <w:sz w:val="20"/>
          <w:szCs w:val="20"/>
        </w:rPr>
        <w:t xml:space="preserve"> Espacio físico que agrupa escenarios, instalaciones o espacios deportivos especializados para el Desarrollo, Capacitación, Entrenamiento y Concentración de Deportistas. Se clasifican de acuerdo con su especialización.</w:t>
      </w:r>
    </w:p>
    <w:p w14:paraId="62369A7C" w14:textId="77777777" w:rsidR="001763FE" w:rsidRDefault="001763FE">
      <w:pPr>
        <w:spacing w:after="0" w:line="240" w:lineRule="auto"/>
        <w:ind w:left="720"/>
        <w:jc w:val="both"/>
      </w:pPr>
    </w:p>
    <w:p w14:paraId="63D165C1" w14:textId="77777777" w:rsidR="001763FE" w:rsidRDefault="00000000">
      <w:pPr>
        <w:numPr>
          <w:ilvl w:val="1"/>
          <w:numId w:val="1"/>
        </w:numPr>
        <w:spacing w:after="0" w:line="240" w:lineRule="auto"/>
        <w:ind w:left="709" w:hanging="709"/>
        <w:jc w:val="both"/>
        <w:rPr>
          <w:b/>
        </w:rPr>
      </w:pPr>
      <w:r>
        <w:rPr>
          <w:rFonts w:ascii="Arial" w:eastAsia="Arial" w:hAnsi="Arial" w:cs="Arial"/>
          <w:b/>
          <w:sz w:val="20"/>
          <w:szCs w:val="20"/>
        </w:rPr>
        <w:t xml:space="preserve">Concreto Asfáltico: </w:t>
      </w:r>
      <w:r>
        <w:rPr>
          <w:rFonts w:ascii="Arial" w:eastAsia="Arial" w:hAnsi="Arial" w:cs="Arial"/>
          <w:sz w:val="20"/>
          <w:szCs w:val="20"/>
        </w:rPr>
        <w:t>Material resultante de la mezcla de cemento asfaltico convencional y/o modificado y agregados pétreos.</w:t>
      </w:r>
    </w:p>
    <w:p w14:paraId="73398DBA" w14:textId="77777777" w:rsidR="001763FE" w:rsidRDefault="001763FE">
      <w:pPr>
        <w:spacing w:after="0" w:line="240" w:lineRule="auto"/>
        <w:ind w:left="720"/>
        <w:jc w:val="both"/>
        <w:rPr>
          <w:rFonts w:ascii="Arial" w:eastAsia="Arial" w:hAnsi="Arial" w:cs="Arial"/>
          <w:b/>
          <w:sz w:val="20"/>
          <w:szCs w:val="20"/>
        </w:rPr>
      </w:pPr>
    </w:p>
    <w:p w14:paraId="01FF1900"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Concreto Hidráulico:</w:t>
      </w:r>
      <w:r>
        <w:rPr>
          <w:rFonts w:ascii="Arial" w:eastAsia="Arial" w:hAnsi="Arial" w:cs="Arial"/>
          <w:sz w:val="20"/>
          <w:szCs w:val="20"/>
        </w:rPr>
        <w:t xml:space="preserve"> Material resultante de la mezcla de cemento portland, agua y agregados pétreos.</w:t>
      </w:r>
    </w:p>
    <w:p w14:paraId="326ED537" w14:textId="77777777" w:rsidR="001763FE" w:rsidRDefault="001763FE">
      <w:pPr>
        <w:spacing w:after="0" w:line="240" w:lineRule="auto"/>
        <w:ind w:left="720"/>
        <w:jc w:val="both"/>
        <w:rPr>
          <w:rFonts w:ascii="Arial" w:eastAsia="Arial" w:hAnsi="Arial" w:cs="Arial"/>
          <w:sz w:val="20"/>
          <w:szCs w:val="20"/>
        </w:rPr>
      </w:pPr>
    </w:p>
    <w:p w14:paraId="60F66C02"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Concreto Hidráulico Reforzado:</w:t>
      </w:r>
      <w:r>
        <w:rPr>
          <w:rFonts w:ascii="Arial" w:eastAsia="Arial" w:hAnsi="Arial" w:cs="Arial"/>
          <w:sz w:val="20"/>
          <w:szCs w:val="20"/>
        </w:rPr>
        <w:t xml:space="preserve"> Material resultante de la mezcla de cemento portland, agua, agregados pétreos y/o aditivos y acero de refuerzo. </w:t>
      </w:r>
    </w:p>
    <w:p w14:paraId="689A6F14" w14:textId="77777777" w:rsidR="001763FE" w:rsidRDefault="001763FE">
      <w:pPr>
        <w:spacing w:after="0" w:line="240" w:lineRule="auto"/>
        <w:ind w:left="720"/>
        <w:jc w:val="both"/>
        <w:rPr>
          <w:rFonts w:ascii="Arial" w:eastAsia="Arial" w:hAnsi="Arial" w:cs="Arial"/>
          <w:sz w:val="20"/>
          <w:szCs w:val="20"/>
        </w:rPr>
      </w:pPr>
    </w:p>
    <w:p w14:paraId="07A430C1"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Construcción:</w:t>
      </w:r>
      <w:r>
        <w:rPr>
          <w:rFonts w:ascii="Arial" w:eastAsia="Arial" w:hAnsi="Arial" w:cs="Arial"/>
          <w:sz w:val="20"/>
          <w:szCs w:val="20"/>
        </w:rPr>
        <w:t xml:space="preserve"> Obras nuevas de edificaciones en terrenos no construidos o cuya área esté libre por autorización de demolición total. </w:t>
      </w:r>
    </w:p>
    <w:p w14:paraId="40EF1176" w14:textId="77777777" w:rsidR="001763FE" w:rsidRDefault="001763FE">
      <w:pPr>
        <w:spacing w:after="0" w:line="240" w:lineRule="auto"/>
        <w:ind w:left="720"/>
        <w:jc w:val="both"/>
        <w:rPr>
          <w:rFonts w:ascii="Arial" w:eastAsia="Arial" w:hAnsi="Arial" w:cs="Arial"/>
          <w:b/>
          <w:sz w:val="20"/>
          <w:szCs w:val="20"/>
        </w:rPr>
      </w:pPr>
    </w:p>
    <w:p w14:paraId="2E7DC24C"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Construcción Sismo Resistente:</w:t>
      </w:r>
      <w:r>
        <w:rPr>
          <w:rFonts w:ascii="Arial" w:eastAsia="Arial" w:hAnsi="Arial" w:cs="Arial"/>
          <w:sz w:val="20"/>
          <w:szCs w:val="20"/>
        </w:rPr>
        <w:t xml:space="preserve"> Construcción que cumple con el objetivo expresado en el literal A.1.2.2. del título A de la NSR-10, a través de un diseño y una construcción que cumplan los requisitos de la Ley 400 de 1997 y de la norma sismo resistente. </w:t>
      </w:r>
    </w:p>
    <w:p w14:paraId="29939CB3" w14:textId="77777777" w:rsidR="001763FE" w:rsidRDefault="001763FE">
      <w:pPr>
        <w:spacing w:after="0" w:line="240" w:lineRule="auto"/>
        <w:ind w:left="720"/>
        <w:jc w:val="both"/>
        <w:rPr>
          <w:rFonts w:ascii="Arial" w:eastAsia="Arial" w:hAnsi="Arial" w:cs="Arial"/>
          <w:b/>
          <w:sz w:val="20"/>
          <w:szCs w:val="20"/>
        </w:rPr>
      </w:pPr>
    </w:p>
    <w:p w14:paraId="1EEF569F"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Constructor:</w:t>
      </w:r>
      <w:r>
        <w:rPr>
          <w:rFonts w:ascii="Arial" w:eastAsia="Arial" w:hAnsi="Arial" w:cs="Arial"/>
          <w:sz w:val="20"/>
          <w:szCs w:val="20"/>
        </w:rPr>
        <w:t xml:space="preserve"> Profesional en ingeniero civil, arquitecto o constructor en arquitectura e ingeniería, bajo cuya responsabilidad se adelanta la construcción de la edificación. </w:t>
      </w:r>
    </w:p>
    <w:p w14:paraId="5EDAD233" w14:textId="77777777" w:rsidR="001763FE" w:rsidRDefault="001763FE">
      <w:pPr>
        <w:spacing w:after="0" w:line="240" w:lineRule="auto"/>
        <w:jc w:val="both"/>
        <w:rPr>
          <w:rFonts w:ascii="Arial" w:eastAsia="Arial" w:hAnsi="Arial" w:cs="Arial"/>
          <w:sz w:val="20"/>
          <w:szCs w:val="20"/>
        </w:rPr>
      </w:pPr>
    </w:p>
    <w:p w14:paraId="0BBED076"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lastRenderedPageBreak/>
        <w:t>Cultura</w:t>
      </w:r>
      <w:r>
        <w:rPr>
          <w:rFonts w:ascii="Arial" w:eastAsia="Arial" w:hAnsi="Arial" w:cs="Arial"/>
          <w:b/>
          <w:sz w:val="20"/>
          <w:szCs w:val="20"/>
          <w:vertAlign w:val="superscript"/>
        </w:rPr>
        <w:footnoteReference w:id="1"/>
      </w:r>
      <w:r>
        <w:rPr>
          <w:rFonts w:ascii="Arial" w:eastAsia="Arial" w:hAnsi="Arial" w:cs="Arial"/>
          <w:b/>
          <w:sz w:val="20"/>
          <w:szCs w:val="20"/>
        </w:rPr>
        <w:t xml:space="preserve">: </w:t>
      </w:r>
      <w:r>
        <w:rPr>
          <w:rFonts w:ascii="Arial" w:eastAsia="Arial" w:hAnsi="Arial" w:cs="Arial"/>
          <w:sz w:val="20"/>
          <w:szCs w:val="20"/>
        </w:rPr>
        <w:t>Es el conjunto de rasgos distintivos, espirituales, materiales, intelectuales y emocionales que caracterizan a los grupos humanos y que comprende, más allá de las artes y las letras, modos de vida, derechos humanos, sistemas de valores, tradiciones y creencias.</w:t>
      </w:r>
    </w:p>
    <w:p w14:paraId="325001DB" w14:textId="77777777" w:rsidR="001763FE" w:rsidRDefault="001763FE">
      <w:pPr>
        <w:spacing w:after="0" w:line="240" w:lineRule="auto"/>
        <w:ind w:left="720"/>
        <w:jc w:val="both"/>
        <w:rPr>
          <w:rFonts w:ascii="Arial" w:eastAsia="Arial" w:hAnsi="Arial" w:cs="Arial"/>
          <w:b/>
          <w:sz w:val="20"/>
          <w:szCs w:val="20"/>
        </w:rPr>
      </w:pPr>
    </w:p>
    <w:p w14:paraId="4263F0DF"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Demolición:</w:t>
      </w:r>
      <w:r>
        <w:rPr>
          <w:rFonts w:ascii="Arial" w:eastAsia="Arial" w:hAnsi="Arial" w:cs="Arial"/>
          <w:sz w:val="20"/>
          <w:szCs w:val="20"/>
        </w:rPr>
        <w:t xml:space="preserve"> Actividades o intervenciones para derribar total o parcialmente una o varias edificaciones existentes en uno o varios predios. </w:t>
      </w:r>
    </w:p>
    <w:p w14:paraId="0F1C6B57" w14:textId="77777777" w:rsidR="001763FE" w:rsidRDefault="001763FE">
      <w:pPr>
        <w:spacing w:after="0" w:line="240" w:lineRule="auto"/>
        <w:ind w:left="720"/>
        <w:jc w:val="both"/>
        <w:rPr>
          <w:rFonts w:ascii="Arial" w:eastAsia="Arial" w:hAnsi="Arial" w:cs="Arial"/>
          <w:b/>
          <w:sz w:val="20"/>
          <w:szCs w:val="20"/>
        </w:rPr>
      </w:pPr>
    </w:p>
    <w:p w14:paraId="504E914A"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Diseñador Arquitectónico:</w:t>
      </w:r>
      <w:r>
        <w:rPr>
          <w:rFonts w:ascii="Arial" w:eastAsia="Arial" w:hAnsi="Arial" w:cs="Arial"/>
          <w:sz w:val="20"/>
          <w:szCs w:val="20"/>
        </w:rPr>
        <w:t xml:space="preserve"> Arquitecto bajo cuya responsabilidad se realiza el diseño y los planos arquitectónicos de la edificación y quien los firma o rotula. </w:t>
      </w:r>
    </w:p>
    <w:p w14:paraId="7128B5EC" w14:textId="77777777" w:rsidR="001763FE" w:rsidRDefault="001763FE">
      <w:pPr>
        <w:spacing w:after="0" w:line="240" w:lineRule="auto"/>
        <w:ind w:left="720"/>
        <w:jc w:val="both"/>
        <w:rPr>
          <w:rFonts w:ascii="Arial" w:eastAsia="Arial" w:hAnsi="Arial" w:cs="Arial"/>
          <w:sz w:val="20"/>
          <w:szCs w:val="20"/>
        </w:rPr>
      </w:pPr>
    </w:p>
    <w:p w14:paraId="41D80A1B"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Diseñador de los Elementos no Estructurales: </w:t>
      </w:r>
      <w:r>
        <w:rPr>
          <w:rFonts w:ascii="Arial" w:eastAsia="Arial" w:hAnsi="Arial" w:cs="Arial"/>
          <w:sz w:val="20"/>
          <w:szCs w:val="20"/>
        </w:rPr>
        <w:t>Profesional facultado para este fin, bajo cuya responsabilidad se realiza el diseño y los planos de los elementos no estructurales de la edificación y quien los firma o rotula.</w:t>
      </w:r>
    </w:p>
    <w:p w14:paraId="180892E4" w14:textId="77777777" w:rsidR="001763FE" w:rsidRDefault="001763FE">
      <w:pPr>
        <w:spacing w:after="0" w:line="240" w:lineRule="auto"/>
        <w:ind w:left="720"/>
        <w:jc w:val="both"/>
        <w:rPr>
          <w:rFonts w:ascii="Arial" w:eastAsia="Arial" w:hAnsi="Arial" w:cs="Arial"/>
          <w:sz w:val="20"/>
          <w:szCs w:val="20"/>
        </w:rPr>
      </w:pPr>
    </w:p>
    <w:p w14:paraId="1BF7E995"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Diseñador Estructural:</w:t>
      </w:r>
      <w:r>
        <w:rPr>
          <w:rFonts w:ascii="Arial" w:eastAsia="Arial" w:hAnsi="Arial" w:cs="Arial"/>
          <w:sz w:val="20"/>
          <w:szCs w:val="20"/>
        </w:rPr>
        <w:t xml:space="preserve"> Ingeniero civil facultado para este fin, bajo cuya responsabilidad se realiza el diseño y los planos estructurales de la edificación y quien los firma o rotula. </w:t>
      </w:r>
    </w:p>
    <w:p w14:paraId="10C8A7D0" w14:textId="77777777" w:rsidR="001763FE" w:rsidRDefault="001763FE">
      <w:pPr>
        <w:spacing w:after="0" w:line="240" w:lineRule="auto"/>
        <w:jc w:val="both"/>
        <w:rPr>
          <w:rFonts w:ascii="Arial" w:eastAsia="Arial" w:hAnsi="Arial" w:cs="Arial"/>
          <w:sz w:val="20"/>
          <w:szCs w:val="20"/>
        </w:rPr>
      </w:pPr>
    </w:p>
    <w:p w14:paraId="7CDA9041"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Drenaje Campo Deportivo:</w:t>
      </w:r>
      <w:r>
        <w:rPr>
          <w:rFonts w:ascii="Arial" w:eastAsia="Arial" w:hAnsi="Arial" w:cs="Arial"/>
          <w:sz w:val="20"/>
          <w:szCs w:val="20"/>
        </w:rPr>
        <w:t xml:space="preserve"> Sistema subterráneo que permite la evacuación de agua percolada al interior de un campo deportivo, a un sistema de descole.</w:t>
      </w:r>
    </w:p>
    <w:p w14:paraId="67DD0892" w14:textId="77777777" w:rsidR="001763FE" w:rsidRDefault="001763FE">
      <w:pPr>
        <w:spacing w:after="0" w:line="240" w:lineRule="auto"/>
        <w:ind w:left="720"/>
        <w:jc w:val="both"/>
        <w:rPr>
          <w:rFonts w:ascii="Arial" w:eastAsia="Arial" w:hAnsi="Arial" w:cs="Arial"/>
          <w:b/>
          <w:sz w:val="20"/>
          <w:szCs w:val="20"/>
        </w:rPr>
      </w:pPr>
    </w:p>
    <w:p w14:paraId="259EA5BA"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Edificación:</w:t>
      </w:r>
      <w:r>
        <w:rPr>
          <w:rFonts w:ascii="Arial" w:eastAsia="Arial" w:hAnsi="Arial" w:cs="Arial"/>
          <w:sz w:val="20"/>
          <w:szCs w:val="20"/>
        </w:rPr>
        <w:t xml:space="preserve"> Construcción cuyo uso primordial es la habitación u ocupación por seres vivos.</w:t>
      </w:r>
    </w:p>
    <w:p w14:paraId="52489E7F" w14:textId="77777777" w:rsidR="001763FE" w:rsidRDefault="001763FE">
      <w:pPr>
        <w:spacing w:after="0" w:line="240" w:lineRule="auto"/>
        <w:ind w:left="720"/>
        <w:jc w:val="both"/>
        <w:rPr>
          <w:rFonts w:ascii="Arial" w:eastAsia="Arial" w:hAnsi="Arial" w:cs="Arial"/>
          <w:sz w:val="20"/>
          <w:szCs w:val="20"/>
        </w:rPr>
      </w:pPr>
    </w:p>
    <w:p w14:paraId="46F54461"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Edificación de Atención a la Comunidad:</w:t>
      </w:r>
      <w:r>
        <w:rPr>
          <w:rFonts w:ascii="Arial" w:eastAsia="Arial" w:hAnsi="Arial" w:cs="Arial"/>
          <w:sz w:val="20"/>
          <w:szCs w:val="20"/>
        </w:rPr>
        <w:t xml:space="preserve"> Equipamientos necesarios para atender emergencias, preservar la salud y la seguridad de las personas y animales, tales como estaciones de bomberos, cuarteles de policía y fuerzas militares, instalaciones de salud, sedes de organismos operativos de emergencias, entre otros. </w:t>
      </w:r>
    </w:p>
    <w:p w14:paraId="4A4D19B3" w14:textId="77777777" w:rsidR="001763FE" w:rsidRDefault="001763FE">
      <w:pPr>
        <w:spacing w:after="0" w:line="240" w:lineRule="auto"/>
        <w:ind w:left="720"/>
        <w:jc w:val="both"/>
        <w:rPr>
          <w:rFonts w:ascii="Arial" w:eastAsia="Arial" w:hAnsi="Arial" w:cs="Arial"/>
          <w:b/>
          <w:sz w:val="20"/>
          <w:szCs w:val="20"/>
        </w:rPr>
      </w:pPr>
    </w:p>
    <w:p w14:paraId="0ADFC76A"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Edificaciones Indispensables: </w:t>
      </w:r>
      <w:r>
        <w:rPr>
          <w:rFonts w:ascii="Arial" w:eastAsia="Arial" w:hAnsi="Arial" w:cs="Arial"/>
          <w:sz w:val="20"/>
          <w:szCs w:val="20"/>
        </w:rPr>
        <w:t xml:space="preserve">Equipamientos de atención a la comunidad que deben funcionar durante y después de un sismo, cuya operación no puede ser trasladada rápidamente a un lugar alterno, tales como hospitales y centrales de operación y control de líneas vitales. </w:t>
      </w:r>
    </w:p>
    <w:p w14:paraId="45F1E9C0" w14:textId="77777777" w:rsidR="001763FE" w:rsidRDefault="001763FE">
      <w:pPr>
        <w:spacing w:after="0" w:line="240" w:lineRule="auto"/>
        <w:ind w:left="720"/>
        <w:jc w:val="both"/>
        <w:rPr>
          <w:rFonts w:ascii="Arial" w:eastAsia="Arial" w:hAnsi="Arial" w:cs="Arial"/>
          <w:b/>
          <w:sz w:val="20"/>
          <w:szCs w:val="20"/>
        </w:rPr>
      </w:pPr>
    </w:p>
    <w:p w14:paraId="6CA14616"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Edificio en Ruina:</w:t>
      </w:r>
      <w:r>
        <w:rPr>
          <w:rFonts w:ascii="Arial" w:eastAsia="Arial" w:hAnsi="Arial" w:cs="Arial"/>
          <w:sz w:val="20"/>
          <w:szCs w:val="20"/>
        </w:rPr>
        <w:t xml:space="preserve"> Colapso total o parcial de una edificación, entendida como unidad estructuralmente independiente, como consecuencia de fallas en los materiales, el diseño estructural, estudio geotécnico, construcción de la cimentación y/o construcción de la estructura, que impide su habitabilidad u ocupación debido al riesgo de pérdida de vidas.  </w:t>
      </w:r>
    </w:p>
    <w:p w14:paraId="020AA3F2" w14:textId="77777777" w:rsidR="001763FE" w:rsidRDefault="001763FE">
      <w:pPr>
        <w:spacing w:after="0" w:line="240" w:lineRule="auto"/>
        <w:ind w:left="720"/>
        <w:jc w:val="both"/>
        <w:rPr>
          <w:rFonts w:ascii="Arial" w:eastAsia="Arial" w:hAnsi="Arial" w:cs="Arial"/>
          <w:b/>
          <w:sz w:val="20"/>
          <w:szCs w:val="20"/>
        </w:rPr>
      </w:pPr>
    </w:p>
    <w:p w14:paraId="6D40283E"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Edificio Institucional:</w:t>
      </w:r>
      <w:r>
        <w:rPr>
          <w:rFonts w:ascii="Arial" w:eastAsia="Arial" w:hAnsi="Arial" w:cs="Arial"/>
          <w:sz w:val="20"/>
          <w:szCs w:val="20"/>
        </w:rPr>
        <w:t xml:space="preserve"> Infraestructura que ha sido construida para funciones específicas (administrativas, educación, salud, cultura, etc.) principalmente para el beneficio e interés público, como, por ejemplo; escuelas, universidades, hospitales, estadios, teatros, archivos, biblioteca, edificios de la policía, cárceles, etc.</w:t>
      </w:r>
    </w:p>
    <w:p w14:paraId="5154CE9B" w14:textId="77777777" w:rsidR="001763FE" w:rsidRDefault="001763FE">
      <w:pPr>
        <w:spacing w:after="0" w:line="240" w:lineRule="auto"/>
        <w:ind w:left="720"/>
        <w:jc w:val="both"/>
        <w:rPr>
          <w:rFonts w:ascii="Arial" w:eastAsia="Arial" w:hAnsi="Arial" w:cs="Arial"/>
          <w:sz w:val="20"/>
          <w:szCs w:val="20"/>
        </w:rPr>
      </w:pPr>
    </w:p>
    <w:p w14:paraId="3D86F949"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Elementos no Estructurales:</w:t>
      </w:r>
      <w:r>
        <w:rPr>
          <w:rFonts w:ascii="Arial" w:eastAsia="Arial" w:hAnsi="Arial" w:cs="Arial"/>
          <w:sz w:val="20"/>
          <w:szCs w:val="20"/>
        </w:rPr>
        <w:t xml:space="preserve"> Componentes de la edificación que no hacen parte de la estructura o su cimentación, los cuales son asociados con los acabados. </w:t>
      </w:r>
    </w:p>
    <w:p w14:paraId="7E162B59" w14:textId="77777777" w:rsidR="001763FE" w:rsidRDefault="001763FE">
      <w:pPr>
        <w:spacing w:after="0" w:line="240" w:lineRule="auto"/>
        <w:ind w:left="709"/>
        <w:jc w:val="both"/>
        <w:rPr>
          <w:b/>
        </w:rPr>
      </w:pPr>
    </w:p>
    <w:p w14:paraId="338A00A0"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Equipamiento Cultural</w:t>
      </w:r>
      <w:r>
        <w:rPr>
          <w:rFonts w:ascii="Arial" w:eastAsia="Arial" w:hAnsi="Arial" w:cs="Arial"/>
          <w:sz w:val="20"/>
          <w:szCs w:val="20"/>
        </w:rPr>
        <w:t>: Infraestructura, edificación, dotación y espacio destinado a la actividad cultural, de creación, circulación, memoria, custodia, transmisión y conservación del conocimiento, fomento y difusión de la cultura y fortalecimiento y desarrollo de las relaciones y las creencias de los diversos pueblos y grupos sociales que habitan la ciudad.</w:t>
      </w:r>
    </w:p>
    <w:p w14:paraId="5046C760" w14:textId="77777777" w:rsidR="001763FE" w:rsidRDefault="001763FE">
      <w:pPr>
        <w:spacing w:after="0" w:line="240" w:lineRule="auto"/>
        <w:ind w:left="720"/>
        <w:jc w:val="both"/>
        <w:rPr>
          <w:rFonts w:ascii="Arial" w:eastAsia="Arial" w:hAnsi="Arial" w:cs="Arial"/>
          <w:b/>
          <w:sz w:val="20"/>
          <w:szCs w:val="20"/>
        </w:rPr>
      </w:pPr>
    </w:p>
    <w:p w14:paraId="465B922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Equipamiento Deportivo: </w:t>
      </w:r>
      <w:r>
        <w:rPr>
          <w:rFonts w:ascii="Arial" w:eastAsia="Arial" w:hAnsi="Arial" w:cs="Arial"/>
          <w:sz w:val="20"/>
          <w:szCs w:val="20"/>
        </w:rPr>
        <w:t xml:space="preserve">Conjunto formado por uno o varios espacios deportivos susceptibles de alojar cualquier actividad deportiva junto con los servicios auxiliares </w:t>
      </w:r>
      <w:r>
        <w:rPr>
          <w:rFonts w:ascii="Arial" w:eastAsia="Arial" w:hAnsi="Arial" w:cs="Arial"/>
          <w:sz w:val="20"/>
          <w:szCs w:val="20"/>
        </w:rPr>
        <w:lastRenderedPageBreak/>
        <w:t>imprescindibles para su buen funcionamiento. Dadas las características físicas y funcionales, se definen cuatro tipos de equipamientos: espacio deportivo, instalación deportiva, complejo deportivo y escenario deportivo.</w:t>
      </w:r>
    </w:p>
    <w:p w14:paraId="4201D72D" w14:textId="77777777" w:rsidR="001763FE" w:rsidRDefault="001763FE">
      <w:pPr>
        <w:spacing w:after="0" w:line="240" w:lineRule="auto"/>
        <w:jc w:val="both"/>
        <w:rPr>
          <w:rFonts w:ascii="Arial" w:eastAsia="Arial" w:hAnsi="Arial" w:cs="Arial"/>
          <w:b/>
          <w:sz w:val="20"/>
          <w:szCs w:val="20"/>
        </w:rPr>
      </w:pPr>
    </w:p>
    <w:p w14:paraId="5BA8B55C"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Escala regional:</w:t>
      </w:r>
      <w:r>
        <w:rPr>
          <w:rFonts w:ascii="Arial" w:eastAsia="Arial" w:hAnsi="Arial" w:cs="Arial"/>
          <w:sz w:val="20"/>
          <w:szCs w:val="20"/>
        </w:rPr>
        <w:t xml:space="preserve"> Parques de gran escala, con una superficie mayor a 50 hectáreas, y un área de influencia o cobertura de dos o más municipios. Se excluyen de esta clasificación los parques nacionales o reservas naturales de la Nación. </w:t>
      </w:r>
    </w:p>
    <w:p w14:paraId="7242665B" w14:textId="77777777" w:rsidR="001763FE" w:rsidRDefault="001763FE">
      <w:pPr>
        <w:spacing w:after="0" w:line="240" w:lineRule="auto"/>
        <w:ind w:left="720"/>
        <w:jc w:val="both"/>
        <w:rPr>
          <w:rFonts w:ascii="Arial" w:eastAsia="Arial" w:hAnsi="Arial" w:cs="Arial"/>
          <w:sz w:val="20"/>
          <w:szCs w:val="20"/>
        </w:rPr>
      </w:pPr>
    </w:p>
    <w:p w14:paraId="785DAC63"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Escala urbana:</w:t>
      </w:r>
      <w:r>
        <w:rPr>
          <w:rFonts w:ascii="Arial" w:eastAsia="Arial" w:hAnsi="Arial" w:cs="Arial"/>
          <w:sz w:val="20"/>
          <w:szCs w:val="20"/>
        </w:rPr>
        <w:t xml:space="preserve"> Zonas verdes o parques urbanos integrales, con una superficie que varía entre 10 y 50 hectáreas, cuya área ofrece servicios especializados de esparcimiento y recreación a la totalidad de los habitantes de un municipio. Su nivel de impacto urbano es alto, por cuanto genera afluencia concentrada de personas. Puede propiciar la aparición y desarrollo de usos complementarios en su área de influencia inmediata, que demandan requerimientos especiales en materia de servicios y obras de infraestructura. </w:t>
      </w:r>
    </w:p>
    <w:p w14:paraId="3CAB516B" w14:textId="77777777" w:rsidR="001763FE" w:rsidRDefault="001763FE">
      <w:pPr>
        <w:spacing w:after="0" w:line="240" w:lineRule="auto"/>
        <w:ind w:left="709"/>
        <w:jc w:val="both"/>
        <w:rPr>
          <w:rFonts w:ascii="Arial" w:eastAsia="Arial" w:hAnsi="Arial" w:cs="Arial"/>
          <w:sz w:val="20"/>
          <w:szCs w:val="20"/>
        </w:rPr>
      </w:pPr>
    </w:p>
    <w:p w14:paraId="135F4EAA"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Escala vecinal:</w:t>
      </w:r>
      <w:r>
        <w:rPr>
          <w:rFonts w:ascii="Arial" w:eastAsia="Arial" w:hAnsi="Arial" w:cs="Arial"/>
          <w:sz w:val="20"/>
          <w:szCs w:val="20"/>
        </w:rPr>
        <w:t xml:space="preserve"> Zonas verdes o parques con una superficie inferior a 2 hectáreas, que cubre las necesidades básicas de esparcimiento y recreación de la comunidad de residentes y trabajadores de su área de influencia inmediata. En esta escala se pueden clasificar parques barriales (superficie inferior a 0,25 hectáreas) y de bolsillo (al interior de una manzana).  </w:t>
      </w:r>
    </w:p>
    <w:p w14:paraId="4A598C99" w14:textId="77777777" w:rsidR="001763FE" w:rsidRDefault="001763FE">
      <w:pPr>
        <w:spacing w:after="0" w:line="240" w:lineRule="auto"/>
        <w:ind w:left="720"/>
        <w:jc w:val="both"/>
        <w:rPr>
          <w:rFonts w:ascii="Arial" w:eastAsia="Arial" w:hAnsi="Arial" w:cs="Arial"/>
          <w:sz w:val="20"/>
          <w:szCs w:val="20"/>
        </w:rPr>
      </w:pPr>
    </w:p>
    <w:p w14:paraId="6873B64D"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Escala zonal:</w:t>
      </w:r>
      <w:r>
        <w:rPr>
          <w:rFonts w:ascii="Arial" w:eastAsia="Arial" w:hAnsi="Arial" w:cs="Arial"/>
          <w:sz w:val="20"/>
          <w:szCs w:val="20"/>
        </w:rPr>
        <w:t xml:space="preserve"> Zonas verdes o parques que prestan un servicio especializado, con alcance a la población de áreas urbanas generalmente más extensas y/o complejas que el vecindario, barrio o grupo reducido y homogéneo de barrios, con una superficie que varía entre 4 y 10 hectáreas. </w:t>
      </w:r>
    </w:p>
    <w:p w14:paraId="3A259751" w14:textId="77777777" w:rsidR="001763FE" w:rsidRDefault="001763FE">
      <w:pPr>
        <w:spacing w:after="0" w:line="240" w:lineRule="auto"/>
        <w:ind w:left="720"/>
        <w:jc w:val="both"/>
        <w:rPr>
          <w:rFonts w:ascii="Arial" w:eastAsia="Arial" w:hAnsi="Arial" w:cs="Arial"/>
          <w:b/>
          <w:sz w:val="20"/>
          <w:szCs w:val="20"/>
        </w:rPr>
      </w:pPr>
    </w:p>
    <w:p w14:paraId="4F2AD51E"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Escenario Deportivo: </w:t>
      </w:r>
      <w:r>
        <w:rPr>
          <w:rFonts w:ascii="Arial" w:eastAsia="Arial" w:hAnsi="Arial" w:cs="Arial"/>
          <w:sz w:val="20"/>
          <w:szCs w:val="20"/>
        </w:rPr>
        <w:t>Instalación construida o adecuada para la práctica de un deporte determinado y legalmente reconocido por el Estado colombiano por intermedio de la autoridad competente respectiva incluyendo todas sus dependencias internas y externas y vías de ingreso y egreso aledañas a dicho escenario</w:t>
      </w:r>
      <w:r>
        <w:rPr>
          <w:rFonts w:ascii="Arial" w:eastAsia="Arial" w:hAnsi="Arial" w:cs="Arial"/>
          <w:sz w:val="20"/>
          <w:szCs w:val="20"/>
          <w:vertAlign w:val="superscript"/>
        </w:rPr>
        <w:footnoteReference w:id="2"/>
      </w:r>
      <w:r>
        <w:rPr>
          <w:rFonts w:ascii="Arial" w:eastAsia="Arial" w:hAnsi="Arial" w:cs="Arial"/>
          <w:sz w:val="20"/>
          <w:szCs w:val="20"/>
        </w:rPr>
        <w:t>.</w:t>
      </w:r>
    </w:p>
    <w:p w14:paraId="393EBFCF" w14:textId="77777777" w:rsidR="001763FE" w:rsidRDefault="001763FE">
      <w:pPr>
        <w:spacing w:after="0" w:line="240" w:lineRule="auto"/>
        <w:ind w:left="709"/>
        <w:jc w:val="both"/>
        <w:rPr>
          <w:rFonts w:ascii="Arial" w:eastAsia="Arial" w:hAnsi="Arial" w:cs="Arial"/>
          <w:sz w:val="20"/>
          <w:szCs w:val="20"/>
        </w:rPr>
      </w:pPr>
    </w:p>
    <w:p w14:paraId="37512EDC"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Escombro: </w:t>
      </w:r>
      <w:r>
        <w:rPr>
          <w:rFonts w:ascii="Arial" w:eastAsia="Arial" w:hAnsi="Arial" w:cs="Arial"/>
          <w:sz w:val="20"/>
          <w:szCs w:val="20"/>
        </w:rPr>
        <w:t>Todo residuo sólido sobrante de la actividad de la construcción, de la realización de obras civiles o de otras actividades conexas complementarias o análogas</w:t>
      </w:r>
    </w:p>
    <w:p w14:paraId="407F6C6A" w14:textId="77777777" w:rsidR="001763FE" w:rsidRDefault="001763FE">
      <w:pPr>
        <w:spacing w:after="0" w:line="240" w:lineRule="auto"/>
        <w:ind w:left="720"/>
        <w:jc w:val="both"/>
        <w:rPr>
          <w:rFonts w:ascii="Arial" w:eastAsia="Arial" w:hAnsi="Arial" w:cs="Arial"/>
          <w:b/>
          <w:sz w:val="20"/>
          <w:szCs w:val="20"/>
        </w:rPr>
      </w:pPr>
    </w:p>
    <w:p w14:paraId="736EE4B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Espacio Deportivo: </w:t>
      </w:r>
      <w:r>
        <w:rPr>
          <w:rFonts w:ascii="Arial" w:eastAsia="Arial" w:hAnsi="Arial" w:cs="Arial"/>
          <w:sz w:val="20"/>
          <w:szCs w:val="20"/>
        </w:rPr>
        <w:t>Lugar para realizar una práctica deportiva, cubierto o al aire libre, que no cuenta con servicios auxiliares. Dentro de los espacios deportivos se encuentran 2 categorías: los espacios deportivos convencionales y los singulares.</w:t>
      </w:r>
    </w:p>
    <w:p w14:paraId="004921E4" w14:textId="77777777" w:rsidR="001763FE" w:rsidRDefault="001763FE">
      <w:pPr>
        <w:spacing w:after="0" w:line="240" w:lineRule="auto"/>
        <w:ind w:left="709"/>
        <w:jc w:val="both"/>
        <w:rPr>
          <w:rFonts w:ascii="Arial" w:eastAsia="Arial" w:hAnsi="Arial" w:cs="Arial"/>
          <w:sz w:val="20"/>
          <w:szCs w:val="20"/>
        </w:rPr>
      </w:pPr>
    </w:p>
    <w:p w14:paraId="10A5E067"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Espacio Deportivo Convencional: </w:t>
      </w:r>
      <w:r>
        <w:rPr>
          <w:rFonts w:ascii="Arial" w:eastAsia="Arial" w:hAnsi="Arial" w:cs="Arial"/>
          <w:sz w:val="20"/>
          <w:szCs w:val="20"/>
        </w:rPr>
        <w:t>Lugar para la actividad deportiva proyectado de acuerdo con cánones preestablecidos. Según sus características físicas se clasifican en canchas, campos, pistas longitudinales o piscinas y al interior de esta clasificación se distingue según el uso entre espacios especializados y multifuncionales (canchas y campos) y según dimensión (piscinas y pistas longitudinales).</w:t>
      </w:r>
    </w:p>
    <w:p w14:paraId="469E8837" w14:textId="77777777" w:rsidR="001763FE" w:rsidRDefault="001763FE">
      <w:pPr>
        <w:spacing w:after="0" w:line="240" w:lineRule="auto"/>
        <w:ind w:left="709"/>
        <w:jc w:val="both"/>
        <w:rPr>
          <w:rFonts w:ascii="Arial" w:eastAsia="Arial" w:hAnsi="Arial" w:cs="Arial"/>
          <w:sz w:val="20"/>
          <w:szCs w:val="20"/>
        </w:rPr>
      </w:pPr>
    </w:p>
    <w:p w14:paraId="4ADC820C"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Espacio Deportivo Singular: </w:t>
      </w:r>
      <w:r>
        <w:rPr>
          <w:rFonts w:ascii="Arial" w:eastAsia="Arial" w:hAnsi="Arial" w:cs="Arial"/>
          <w:sz w:val="20"/>
          <w:szCs w:val="20"/>
        </w:rPr>
        <w:t>Lugar que guarda una relación directa con el entorno donde está ubicado, aun cuando la actividad deportiva que en él se desarrolla sea de carácter reglado. Las dimensiones de este espacio están definidas en función del deporte en cuestión y los reglamentos determinan algunas de sus características o singularidades técnicas.</w:t>
      </w:r>
    </w:p>
    <w:p w14:paraId="0875F123" w14:textId="77777777" w:rsidR="001763FE" w:rsidRDefault="001763FE">
      <w:pPr>
        <w:spacing w:after="0" w:line="240" w:lineRule="auto"/>
        <w:ind w:left="720"/>
        <w:jc w:val="both"/>
        <w:rPr>
          <w:rFonts w:ascii="Arial" w:eastAsia="Arial" w:hAnsi="Arial" w:cs="Arial"/>
          <w:b/>
          <w:sz w:val="20"/>
          <w:szCs w:val="20"/>
        </w:rPr>
      </w:pPr>
    </w:p>
    <w:p w14:paraId="2FB078F9"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Espacio Público:</w:t>
      </w:r>
      <w:r>
        <w:rPr>
          <w:rFonts w:ascii="Arial" w:eastAsia="Arial" w:hAnsi="Arial" w:cs="Arial"/>
          <w:sz w:val="20"/>
          <w:szCs w:val="20"/>
        </w:rPr>
        <w:t xml:space="preserve"> Conjunto de inmuebles públicos y los elementos arquitectónicos y naturales de los inmuebles privados destinados por naturaleza, usos o afectación a la satisfacción de necesidades urbanas colectivas que transcienden los límites de los intereses individuales de los habitantes. </w:t>
      </w:r>
    </w:p>
    <w:p w14:paraId="201DB735" w14:textId="77777777" w:rsidR="001763FE" w:rsidRDefault="001763FE">
      <w:pPr>
        <w:spacing w:after="0" w:line="240" w:lineRule="auto"/>
        <w:ind w:left="708"/>
        <w:jc w:val="both"/>
        <w:rPr>
          <w:rFonts w:ascii="Arial" w:eastAsia="Arial" w:hAnsi="Arial" w:cs="Arial"/>
          <w:sz w:val="20"/>
          <w:szCs w:val="20"/>
        </w:rPr>
      </w:pPr>
    </w:p>
    <w:p w14:paraId="2F0A426C" w14:textId="77777777" w:rsidR="001763FE" w:rsidRDefault="00000000">
      <w:pPr>
        <w:spacing w:after="0" w:line="240" w:lineRule="auto"/>
        <w:ind w:left="708"/>
        <w:jc w:val="both"/>
        <w:rPr>
          <w:rFonts w:ascii="Arial" w:eastAsia="Arial" w:hAnsi="Arial" w:cs="Arial"/>
          <w:sz w:val="20"/>
          <w:szCs w:val="20"/>
        </w:rPr>
      </w:pPr>
      <w:r>
        <w:rPr>
          <w:rFonts w:ascii="Arial" w:eastAsia="Arial" w:hAnsi="Arial" w:cs="Arial"/>
          <w:sz w:val="20"/>
          <w:szCs w:val="20"/>
        </w:rPr>
        <w:t xml:space="preserve">El espacio público comprende, entre otros, los siguientes aspectos: </w:t>
      </w:r>
    </w:p>
    <w:p w14:paraId="37A2FEBA" w14:textId="77777777" w:rsidR="001763FE" w:rsidRDefault="001763FE">
      <w:pPr>
        <w:spacing w:after="0" w:line="240" w:lineRule="auto"/>
        <w:ind w:left="708"/>
        <w:jc w:val="both"/>
        <w:rPr>
          <w:rFonts w:ascii="Arial" w:eastAsia="Arial" w:hAnsi="Arial" w:cs="Arial"/>
          <w:sz w:val="20"/>
          <w:szCs w:val="20"/>
        </w:rPr>
      </w:pPr>
    </w:p>
    <w:p w14:paraId="03130914" w14:textId="77777777" w:rsidR="001763FE" w:rsidRDefault="00000000">
      <w:pPr>
        <w:spacing w:after="0" w:line="240" w:lineRule="auto"/>
        <w:ind w:left="708"/>
        <w:jc w:val="both"/>
        <w:rPr>
          <w:rFonts w:ascii="Arial" w:eastAsia="Arial" w:hAnsi="Arial" w:cs="Arial"/>
          <w:sz w:val="20"/>
          <w:szCs w:val="20"/>
        </w:rPr>
      </w:pPr>
      <w:r>
        <w:rPr>
          <w:rFonts w:ascii="Arial" w:eastAsia="Arial" w:hAnsi="Arial" w:cs="Arial"/>
          <w:sz w:val="20"/>
          <w:szCs w:val="20"/>
        </w:rPr>
        <w:t xml:space="preserve">a. Los bienes de uso público, es decir aquellos inmuebles de dominio público cuyo uso pertenece a todos los habitantes del territorio nacional, destinados al uso o disfrute colectivo; </w:t>
      </w:r>
    </w:p>
    <w:p w14:paraId="0C500023" w14:textId="77777777" w:rsidR="001763FE" w:rsidRDefault="001763FE">
      <w:pPr>
        <w:spacing w:after="0" w:line="240" w:lineRule="auto"/>
        <w:ind w:left="708"/>
        <w:jc w:val="both"/>
        <w:rPr>
          <w:rFonts w:ascii="Arial" w:eastAsia="Arial" w:hAnsi="Arial" w:cs="Arial"/>
          <w:sz w:val="20"/>
          <w:szCs w:val="20"/>
        </w:rPr>
      </w:pPr>
    </w:p>
    <w:p w14:paraId="7421F736" w14:textId="77777777" w:rsidR="001763FE" w:rsidRDefault="00000000">
      <w:pPr>
        <w:spacing w:after="0" w:line="240" w:lineRule="auto"/>
        <w:ind w:left="708"/>
        <w:jc w:val="both"/>
        <w:rPr>
          <w:rFonts w:ascii="Arial" w:eastAsia="Arial" w:hAnsi="Arial" w:cs="Arial"/>
          <w:sz w:val="20"/>
          <w:szCs w:val="20"/>
        </w:rPr>
      </w:pPr>
      <w:r>
        <w:rPr>
          <w:rFonts w:ascii="Arial" w:eastAsia="Arial" w:hAnsi="Arial" w:cs="Arial"/>
          <w:sz w:val="20"/>
          <w:szCs w:val="20"/>
        </w:rPr>
        <w:t xml:space="preserve">b. Los elementos arquitectónicos, espaciales y naturales de los inmuebles de propiedad privada que por su naturaleza, uso o afectación satisfacen necesidades de uso público; </w:t>
      </w:r>
    </w:p>
    <w:p w14:paraId="5615C1CD" w14:textId="77777777" w:rsidR="001763FE" w:rsidRDefault="001763FE">
      <w:pPr>
        <w:spacing w:after="0" w:line="240" w:lineRule="auto"/>
        <w:ind w:left="708"/>
        <w:jc w:val="both"/>
        <w:rPr>
          <w:rFonts w:ascii="Arial" w:eastAsia="Arial" w:hAnsi="Arial" w:cs="Arial"/>
          <w:sz w:val="20"/>
          <w:szCs w:val="20"/>
        </w:rPr>
      </w:pPr>
    </w:p>
    <w:p w14:paraId="1BB8B54F" w14:textId="77777777" w:rsidR="001763FE" w:rsidRDefault="00000000">
      <w:pPr>
        <w:spacing w:after="0" w:line="240" w:lineRule="auto"/>
        <w:ind w:left="708"/>
        <w:jc w:val="both"/>
        <w:rPr>
          <w:rFonts w:ascii="Arial" w:eastAsia="Arial" w:hAnsi="Arial" w:cs="Arial"/>
          <w:sz w:val="20"/>
          <w:szCs w:val="20"/>
        </w:rPr>
      </w:pPr>
      <w:r>
        <w:rPr>
          <w:rFonts w:ascii="Arial" w:eastAsia="Arial" w:hAnsi="Arial" w:cs="Arial"/>
          <w:sz w:val="20"/>
          <w:szCs w:val="20"/>
        </w:rPr>
        <w:t>c. Las áreas requeridas para la conformación del sistema de espacio público en los términos establecidos en el Decreto 1504 de 1998 compilado en el Decreto 1077 de 2015.</w:t>
      </w:r>
    </w:p>
    <w:p w14:paraId="18105764" w14:textId="77777777" w:rsidR="001763FE" w:rsidRDefault="001763FE">
      <w:pPr>
        <w:spacing w:after="0" w:line="240" w:lineRule="auto"/>
        <w:ind w:left="720"/>
        <w:jc w:val="both"/>
        <w:rPr>
          <w:rFonts w:ascii="Arial" w:eastAsia="Arial" w:hAnsi="Arial" w:cs="Arial"/>
          <w:b/>
          <w:sz w:val="20"/>
          <w:szCs w:val="20"/>
        </w:rPr>
      </w:pPr>
    </w:p>
    <w:p w14:paraId="45F559F0"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Estructura:</w:t>
      </w:r>
      <w:r>
        <w:rPr>
          <w:rFonts w:ascii="Arial" w:eastAsia="Arial" w:hAnsi="Arial" w:cs="Arial"/>
          <w:sz w:val="20"/>
          <w:szCs w:val="20"/>
        </w:rPr>
        <w:t xml:space="preserve"> Ensamblaje de elementos diseñados para soportar las cargas gravitacionales y resistir las fuerzas horizontales. Las estructuras pueden ser catalogadas como estructuras de edificaciones o estructuras diferentes a las de las edificaciones.</w:t>
      </w:r>
    </w:p>
    <w:p w14:paraId="70883862" w14:textId="77777777" w:rsidR="001763FE" w:rsidRDefault="001763FE">
      <w:pPr>
        <w:spacing w:after="0" w:line="240" w:lineRule="auto"/>
        <w:ind w:left="709"/>
        <w:jc w:val="both"/>
        <w:rPr>
          <w:rFonts w:ascii="Arial" w:eastAsia="Arial" w:hAnsi="Arial" w:cs="Arial"/>
          <w:b/>
          <w:sz w:val="20"/>
          <w:szCs w:val="20"/>
        </w:rPr>
      </w:pPr>
    </w:p>
    <w:p w14:paraId="34E7EC88"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Grama Kikuyo: </w:t>
      </w:r>
      <w:r>
        <w:rPr>
          <w:rFonts w:ascii="Arial" w:eastAsia="Arial" w:hAnsi="Arial" w:cs="Arial"/>
          <w:sz w:val="20"/>
          <w:szCs w:val="20"/>
        </w:rPr>
        <w:t>Es una especie de grama que tiene un buen desarrollo en aturas mayores a 1800 MSNM, resistente a las características de los climas fríos. Posee un crecimiento muy agresivo que le permite dominar las demás especies que se siembren con ella, inclusive la Bermuda. Brinda un césped muy agradable por el color de sus hojas y su textura. Tiene una excelente resistencia al tránsito intenso, pero al igual que las Bermudas no tolera zonas sombrías.</w:t>
      </w:r>
    </w:p>
    <w:p w14:paraId="4069EAA8" w14:textId="77777777" w:rsidR="001763FE" w:rsidRDefault="001763FE">
      <w:pPr>
        <w:spacing w:after="0" w:line="240" w:lineRule="auto"/>
        <w:jc w:val="both"/>
        <w:rPr>
          <w:rFonts w:ascii="Arial" w:eastAsia="Arial" w:hAnsi="Arial" w:cs="Arial"/>
          <w:sz w:val="20"/>
          <w:szCs w:val="20"/>
        </w:rPr>
      </w:pPr>
    </w:p>
    <w:p w14:paraId="3A5C1349"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Generador: </w:t>
      </w:r>
      <w:r>
        <w:rPr>
          <w:rFonts w:ascii="Arial" w:eastAsia="Arial" w:hAnsi="Arial" w:cs="Arial"/>
          <w:sz w:val="20"/>
          <w:szCs w:val="20"/>
        </w:rPr>
        <w:t>Persona natural o jurídica propietaria o administradora del bien público o privado en el que se desarrollen obras de excavación, construcción, demolición y/o remodelación o entidades responsables de la ejecución de obras públicas.</w:t>
      </w:r>
    </w:p>
    <w:p w14:paraId="795CB2B4" w14:textId="77777777" w:rsidR="001763FE" w:rsidRDefault="001763FE">
      <w:pPr>
        <w:spacing w:after="0" w:line="240" w:lineRule="auto"/>
        <w:ind w:left="709"/>
        <w:jc w:val="both"/>
        <w:rPr>
          <w:rFonts w:ascii="Arial" w:eastAsia="Arial" w:hAnsi="Arial" w:cs="Arial"/>
          <w:sz w:val="20"/>
          <w:szCs w:val="20"/>
        </w:rPr>
      </w:pPr>
    </w:p>
    <w:p w14:paraId="7440A5C3"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Grupo de ocupación de lugares de reunión:</w:t>
      </w:r>
      <w:r>
        <w:rPr>
          <w:rFonts w:ascii="Arial" w:eastAsia="Arial" w:hAnsi="Arial" w:cs="Arial"/>
          <w:sz w:val="20"/>
          <w:szCs w:val="20"/>
        </w:rPr>
        <w:t xml:space="preserve"> En el grupo de ocupación de lugares de reunión se clasifican las edificaciones o espacios en donde se reúne o agrupa la gente con fines religiosos, deportivos, políticos, culturales, sociales, recreativos o de transporte y que, en general, disponen de medios comunes de salida o de entrada. </w:t>
      </w:r>
    </w:p>
    <w:p w14:paraId="6F242C23" w14:textId="77777777" w:rsidR="001763FE" w:rsidRDefault="001763FE">
      <w:pPr>
        <w:spacing w:after="0" w:line="240" w:lineRule="auto"/>
        <w:ind w:left="709"/>
        <w:jc w:val="both"/>
        <w:rPr>
          <w:rFonts w:ascii="Arial" w:eastAsia="Arial" w:hAnsi="Arial" w:cs="Arial"/>
          <w:sz w:val="20"/>
          <w:szCs w:val="20"/>
        </w:rPr>
      </w:pPr>
    </w:p>
    <w:p w14:paraId="59BE361F"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Grupo de ocupación de lugares de reunión culturales:</w:t>
      </w:r>
      <w:r>
        <w:rPr>
          <w:rFonts w:ascii="Arial" w:eastAsia="Arial" w:hAnsi="Arial" w:cs="Arial"/>
          <w:sz w:val="20"/>
          <w:szCs w:val="20"/>
        </w:rPr>
        <w:t xml:space="preserve"> En este grupo se clasifican las edificaciones o espacios utilizados para la realización o presentación de eventos culturales o políticos, y en general, donde se reúnen o agrupan personas con fines culturales, y existen instalaciones escénicas tales como proscenios o tablados, cortinas, iluminación especial, cuartos de proyección y de artistas, dispositivos mecánicos, silletería fija u otros accesorios o equipos de teatro. Entre los cuales se encuentran: auditorios, salones de exhibición, salones de convención, salas de cine, salas de concierto, carpas y espacios abiertos, salas de teatro, teatros al aire libre, cinematecas, planetarios, teatros. </w:t>
      </w:r>
    </w:p>
    <w:p w14:paraId="712F2364" w14:textId="77777777" w:rsidR="001763FE" w:rsidRDefault="001763FE">
      <w:pPr>
        <w:spacing w:after="0" w:line="240" w:lineRule="auto"/>
        <w:ind w:left="709"/>
        <w:jc w:val="both"/>
      </w:pPr>
    </w:p>
    <w:p w14:paraId="386DB541"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Grupo de ocupación de lugares de reunión deportivos:</w:t>
      </w:r>
      <w:r>
        <w:rPr>
          <w:rFonts w:ascii="Arial" w:eastAsia="Arial" w:hAnsi="Arial" w:cs="Arial"/>
          <w:sz w:val="20"/>
          <w:szCs w:val="20"/>
        </w:rPr>
        <w:t xml:space="preserve"> En este grupo se clasifican las edificaciones o espacios utilizados para la realización de cualquier tipo de deporte, y en general, donde se reúnen o agrupan personas para presencia o realizar algún evento deportivo. Entre los cuales se encuentran: estadios, gimnasios, autódromos, velódromos, piscinas colectivas, clubes deportivos, carpas y espacios abiertos, plazas de toros, hipódromos, boleras, coliseos, pistas, polígonos, otros similares. </w:t>
      </w:r>
    </w:p>
    <w:p w14:paraId="63CF571A" w14:textId="77777777" w:rsidR="001763FE" w:rsidRDefault="001763FE">
      <w:pPr>
        <w:spacing w:after="0" w:line="240" w:lineRule="auto"/>
        <w:ind w:left="709"/>
        <w:jc w:val="both"/>
        <w:rPr>
          <w:rFonts w:ascii="Arial" w:eastAsia="Arial" w:hAnsi="Arial" w:cs="Arial"/>
          <w:sz w:val="20"/>
          <w:szCs w:val="20"/>
        </w:rPr>
      </w:pPr>
    </w:p>
    <w:p w14:paraId="244D6E24"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Grupo de ocupación de lugares de reunión sociales y recreativos:</w:t>
      </w:r>
      <w:r>
        <w:rPr>
          <w:rFonts w:ascii="Arial" w:eastAsia="Arial" w:hAnsi="Arial" w:cs="Arial"/>
          <w:sz w:val="20"/>
          <w:szCs w:val="20"/>
        </w:rPr>
        <w:t xml:space="preserve"> En este grupo se clasifican las edificaciones o espacios en los cuales se reúnen o agrupan personas para fines de diversión y sociales, para el consumo de comidas o bebidas, y en general, para la realización de cualquier tipo de actividad social o recreativa que no requiera la presencia de instalaciones para representación escénica ni de silletería. Entre los cuales se encuentran, salas de lectura, galerías de arte, museos, parques, coliseos, polideportivos, otros similares.</w:t>
      </w:r>
    </w:p>
    <w:p w14:paraId="498731EB" w14:textId="77777777" w:rsidR="001763FE" w:rsidRDefault="001763FE">
      <w:pPr>
        <w:spacing w:after="0" w:line="240" w:lineRule="auto"/>
        <w:ind w:left="709"/>
        <w:jc w:val="both"/>
        <w:rPr>
          <w:rFonts w:ascii="Arial" w:eastAsia="Arial" w:hAnsi="Arial" w:cs="Arial"/>
          <w:sz w:val="18"/>
          <w:szCs w:val="18"/>
        </w:rPr>
      </w:pPr>
    </w:p>
    <w:p w14:paraId="6292F237" w14:textId="77777777" w:rsidR="001763FE" w:rsidRDefault="00000000">
      <w:pPr>
        <w:numPr>
          <w:ilvl w:val="1"/>
          <w:numId w:val="1"/>
        </w:numPr>
        <w:spacing w:after="0" w:line="240" w:lineRule="auto"/>
        <w:ind w:left="709" w:hanging="709"/>
        <w:jc w:val="both"/>
        <w:rPr>
          <w:rFonts w:ascii="Arial" w:eastAsia="Arial" w:hAnsi="Arial" w:cs="Arial"/>
          <w:sz w:val="18"/>
          <w:szCs w:val="18"/>
        </w:rPr>
      </w:pPr>
      <w:r>
        <w:rPr>
          <w:rFonts w:ascii="Arial" w:eastAsia="Arial" w:hAnsi="Arial" w:cs="Arial"/>
          <w:b/>
          <w:sz w:val="20"/>
          <w:szCs w:val="20"/>
        </w:rPr>
        <w:lastRenderedPageBreak/>
        <w:t>Impacto ambiental:</w:t>
      </w:r>
      <w:r>
        <w:rPr>
          <w:rFonts w:ascii="Arial" w:eastAsia="Arial" w:hAnsi="Arial" w:cs="Arial"/>
          <w:sz w:val="20"/>
          <w:szCs w:val="20"/>
        </w:rPr>
        <w:t xml:space="preserve"> Cualquier alteración en el sistema ambiental biótico, abiótico y socioeconómico, que sea adverso o beneficioso, total o parcial, que pueda ser atribuido al desarrollo de un proyecto, obra o actividad.</w:t>
      </w:r>
    </w:p>
    <w:p w14:paraId="3A630CC2" w14:textId="77777777" w:rsidR="001763FE" w:rsidRDefault="001763FE">
      <w:pPr>
        <w:spacing w:after="0" w:line="240" w:lineRule="auto"/>
        <w:ind w:left="709"/>
        <w:jc w:val="both"/>
        <w:rPr>
          <w:rFonts w:ascii="Arial" w:eastAsia="Arial" w:hAnsi="Arial" w:cs="Arial"/>
          <w:b/>
          <w:sz w:val="20"/>
          <w:szCs w:val="20"/>
        </w:rPr>
      </w:pPr>
    </w:p>
    <w:p w14:paraId="04ED5415"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Índice de Construcción: </w:t>
      </w:r>
      <w:r>
        <w:rPr>
          <w:rFonts w:ascii="Arial" w:eastAsia="Arial" w:hAnsi="Arial" w:cs="Arial"/>
          <w:sz w:val="20"/>
          <w:szCs w:val="20"/>
        </w:rPr>
        <w:t xml:space="preserve">Relación entre el área total construida y el área del lote. </w:t>
      </w:r>
    </w:p>
    <w:p w14:paraId="1FBF68CC" w14:textId="77777777" w:rsidR="001763FE" w:rsidRDefault="001763FE">
      <w:pPr>
        <w:spacing w:after="0" w:line="240" w:lineRule="auto"/>
        <w:ind w:left="709"/>
        <w:jc w:val="both"/>
        <w:rPr>
          <w:rFonts w:ascii="Arial" w:eastAsia="Arial" w:hAnsi="Arial" w:cs="Arial"/>
          <w:b/>
          <w:sz w:val="20"/>
          <w:szCs w:val="20"/>
        </w:rPr>
      </w:pPr>
    </w:p>
    <w:p w14:paraId="0D24124F"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Índice de Ocupación: </w:t>
      </w:r>
      <w:r>
        <w:rPr>
          <w:rFonts w:ascii="Arial" w:eastAsia="Arial" w:hAnsi="Arial" w:cs="Arial"/>
          <w:sz w:val="20"/>
          <w:szCs w:val="20"/>
        </w:rPr>
        <w:t xml:space="preserve">Relación entre el área construida en el primer piso y el área total del lote. </w:t>
      </w:r>
    </w:p>
    <w:p w14:paraId="3BDF1D04" w14:textId="77777777" w:rsidR="001763FE" w:rsidRDefault="001763FE">
      <w:pPr>
        <w:spacing w:after="0" w:line="240" w:lineRule="auto"/>
        <w:ind w:left="709"/>
        <w:jc w:val="both"/>
        <w:rPr>
          <w:rFonts w:ascii="Arial" w:eastAsia="Arial" w:hAnsi="Arial" w:cs="Arial"/>
          <w:b/>
          <w:sz w:val="20"/>
          <w:szCs w:val="20"/>
        </w:rPr>
      </w:pPr>
    </w:p>
    <w:p w14:paraId="796904C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Infraestructura Cultural:</w:t>
      </w:r>
      <w:r>
        <w:rPr>
          <w:rFonts w:ascii="Arial" w:eastAsia="Arial" w:hAnsi="Arial" w:cs="Arial"/>
          <w:sz w:val="20"/>
          <w:szCs w:val="20"/>
        </w:rPr>
        <w:t xml:space="preserve"> Todos aquellos espacios físicos donde tienen lugar las diversas prácticas y manifestaciones artísticas y culturales de las comunidades, como casas de cultura, salas de música, escuelas de música, escuelas de baile, salones de baile, bibliotecas, teatros, auditorios, centros de convenciones, escuelas de artes y oficios, talleres de artes y oficios, museos, fonotecas, fototecas, salas de conciertos, archivos, plazas de conciertos, conchas acústicas, coliseos de uso múltiple, aulas múltiples, malocas, centros ceremoniales, cinematecas, catedrales, teatros, centros culturales, escuelas de formación artística, maloca, etc.</w:t>
      </w:r>
      <w:r>
        <w:rPr>
          <w:rFonts w:ascii="Arial" w:eastAsia="Arial" w:hAnsi="Arial" w:cs="Arial"/>
          <w:sz w:val="14"/>
          <w:szCs w:val="14"/>
          <w:vertAlign w:val="superscript"/>
        </w:rPr>
        <w:footnoteReference w:id="3"/>
      </w:r>
      <w:r>
        <w:rPr>
          <w:rFonts w:ascii="Arial" w:eastAsia="Arial" w:hAnsi="Arial" w:cs="Arial"/>
          <w:sz w:val="20"/>
          <w:szCs w:val="20"/>
        </w:rPr>
        <w:t>.</w:t>
      </w:r>
    </w:p>
    <w:p w14:paraId="4CE86C4E" w14:textId="77777777" w:rsidR="001763FE" w:rsidRDefault="001763FE">
      <w:pPr>
        <w:pBdr>
          <w:top w:val="nil"/>
          <w:left w:val="nil"/>
          <w:bottom w:val="nil"/>
          <w:right w:val="nil"/>
          <w:between w:val="nil"/>
        </w:pBdr>
        <w:spacing w:after="0"/>
        <w:ind w:left="720"/>
        <w:rPr>
          <w:rFonts w:ascii="Arial" w:eastAsia="Arial" w:hAnsi="Arial" w:cs="Arial"/>
          <w:b/>
          <w:color w:val="000000"/>
          <w:sz w:val="20"/>
          <w:szCs w:val="20"/>
        </w:rPr>
      </w:pPr>
    </w:p>
    <w:p w14:paraId="0B8FC07C"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color w:val="000000"/>
          <w:sz w:val="20"/>
          <w:szCs w:val="20"/>
        </w:rPr>
        <w:t>Instalación Deportiva:</w:t>
      </w:r>
      <w:r>
        <w:rPr>
          <w:rFonts w:ascii="Arial" w:eastAsia="Arial" w:hAnsi="Arial" w:cs="Arial"/>
          <w:color w:val="000000"/>
          <w:sz w:val="20"/>
          <w:szCs w:val="20"/>
        </w:rPr>
        <w:t xml:space="preserve"> Equipamiento deportivo destinado a la práctica del deporte de competición a nivel aficionado, el deporte asociado, el deporte competitivo y el deporte formativo. Su espacio deportivo es reglado y cuenta con los servicios auxiliares mínimos. </w:t>
      </w:r>
    </w:p>
    <w:p w14:paraId="24D807DA" w14:textId="77777777" w:rsidR="001763FE" w:rsidRDefault="001763FE">
      <w:pPr>
        <w:spacing w:after="0" w:line="240" w:lineRule="auto"/>
        <w:ind w:left="720"/>
        <w:jc w:val="both"/>
        <w:rPr>
          <w:rFonts w:ascii="Arial" w:eastAsia="Arial" w:hAnsi="Arial" w:cs="Arial"/>
          <w:b/>
          <w:color w:val="000000"/>
          <w:sz w:val="20"/>
          <w:szCs w:val="20"/>
        </w:rPr>
      </w:pPr>
    </w:p>
    <w:p w14:paraId="0EB1EF85" w14:textId="77777777" w:rsidR="001763FE" w:rsidRDefault="00000000">
      <w:pPr>
        <w:numPr>
          <w:ilvl w:val="1"/>
          <w:numId w:val="1"/>
        </w:numPr>
        <w:spacing w:after="0" w:line="240" w:lineRule="auto"/>
        <w:ind w:left="709" w:hanging="709"/>
        <w:jc w:val="both"/>
        <w:rPr>
          <w:rFonts w:ascii="Arial" w:eastAsia="Arial" w:hAnsi="Arial" w:cs="Arial"/>
          <w:color w:val="000000"/>
          <w:sz w:val="20"/>
          <w:szCs w:val="20"/>
        </w:rPr>
      </w:pPr>
      <w:r>
        <w:rPr>
          <w:rFonts w:ascii="Arial" w:eastAsia="Arial" w:hAnsi="Arial" w:cs="Arial"/>
          <w:b/>
          <w:color w:val="000000"/>
          <w:sz w:val="20"/>
          <w:szCs w:val="20"/>
        </w:rPr>
        <w:t>Intervención de bienes de interés cultural.</w:t>
      </w:r>
      <w:r>
        <w:rPr>
          <w:rFonts w:ascii="Arial" w:eastAsia="Arial" w:hAnsi="Arial" w:cs="Arial"/>
          <w:color w:val="000000"/>
          <w:sz w:val="20"/>
          <w:szCs w:val="20"/>
        </w:rPr>
        <w:t xml:space="preserve"> Acto que causa cambios al bien de interés cultural o que afecte el estado de este. Comprende, a título enunciativo, actos de conservación, restauración, recuperación, remoción, demolición, desmembramiento, desplazamiento o subdivisión, y deberá realizarse de conformidad con el Plan Especial de Manejo y Protección si este fuese requerido.</w:t>
      </w:r>
    </w:p>
    <w:p w14:paraId="5B3E7311" w14:textId="77777777" w:rsidR="001763FE" w:rsidRDefault="001763FE">
      <w:pPr>
        <w:spacing w:after="0" w:line="240" w:lineRule="auto"/>
        <w:ind w:left="720"/>
        <w:jc w:val="both"/>
        <w:rPr>
          <w:rFonts w:ascii="Arial" w:eastAsia="Arial" w:hAnsi="Arial" w:cs="Arial"/>
          <w:b/>
          <w:color w:val="000000"/>
          <w:sz w:val="20"/>
          <w:szCs w:val="20"/>
        </w:rPr>
      </w:pPr>
    </w:p>
    <w:p w14:paraId="05D14465" w14:textId="77777777" w:rsidR="001763FE" w:rsidRDefault="00000000">
      <w:pPr>
        <w:numPr>
          <w:ilvl w:val="1"/>
          <w:numId w:val="1"/>
        </w:numPr>
        <w:spacing w:after="0" w:line="240" w:lineRule="auto"/>
        <w:ind w:left="709" w:hanging="709"/>
        <w:jc w:val="both"/>
        <w:rPr>
          <w:rFonts w:ascii="Arial" w:eastAsia="Arial" w:hAnsi="Arial" w:cs="Arial"/>
          <w:color w:val="000000"/>
          <w:sz w:val="20"/>
          <w:szCs w:val="20"/>
        </w:rPr>
      </w:pPr>
      <w:r>
        <w:rPr>
          <w:rFonts w:ascii="Arial" w:eastAsia="Arial" w:hAnsi="Arial" w:cs="Arial"/>
          <w:b/>
          <w:color w:val="000000"/>
          <w:sz w:val="20"/>
          <w:szCs w:val="20"/>
        </w:rPr>
        <w:t>Ítems no Previstos:</w:t>
      </w:r>
      <w:r>
        <w:rPr>
          <w:rFonts w:ascii="Arial" w:eastAsia="Arial" w:hAnsi="Arial" w:cs="Arial"/>
          <w:sz w:val="20"/>
          <w:szCs w:val="20"/>
        </w:rPr>
        <w:t xml:space="preserve"> </w:t>
      </w:r>
      <w:r>
        <w:rPr>
          <w:rFonts w:ascii="Arial" w:eastAsia="Arial" w:hAnsi="Arial" w:cs="Arial"/>
          <w:color w:val="000000"/>
          <w:sz w:val="20"/>
          <w:szCs w:val="20"/>
        </w:rPr>
        <w:t>Son aquellos que nunca fueron estimados por la Entidad Estatal desde la etapa de planeación del contrato o que a pesar de haber sido previstos no fueron presupuestados, es decir, que no se cuenta con las partidas presupuestales para su ejecución, al no haberse discriminado monto o cantidad del ítem.</w:t>
      </w:r>
    </w:p>
    <w:p w14:paraId="48399BC6" w14:textId="77777777" w:rsidR="001763FE" w:rsidRDefault="001763FE">
      <w:pPr>
        <w:spacing w:after="0" w:line="240" w:lineRule="auto"/>
        <w:jc w:val="both"/>
        <w:rPr>
          <w:rFonts w:ascii="Arial" w:eastAsia="Arial" w:hAnsi="Arial" w:cs="Arial"/>
          <w:color w:val="000000"/>
          <w:sz w:val="20"/>
          <w:szCs w:val="20"/>
        </w:rPr>
      </w:pPr>
    </w:p>
    <w:p w14:paraId="6519E6E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Licencia de Construcción y sus modalidades: </w:t>
      </w:r>
      <w:r>
        <w:rPr>
          <w:rFonts w:ascii="Arial" w:eastAsia="Arial" w:hAnsi="Arial" w:cs="Arial"/>
          <w:sz w:val="20"/>
          <w:szCs w:val="20"/>
        </w:rPr>
        <w:t>Autorización previa para desarrollar edificaciones, áreas de circulación y zonas comunales en uno o varios predios, de conformidad con lo previsto en el Plan de Ordenamiento Territorial, los instrumentos que lo desarrollen y complementen, los Planes Especiales de Manejo y Protección de Bienes de Interés Cultural y demás normatividad que regule la materia. En las licencias de construcción se concretarán de manera específica los usos, edificabilidad, volumetría, accesibilidad y demás aspectos técnicos aprobados para la respectiva edificación. Son modalidades de la licencia de construcción las siguientes</w:t>
      </w:r>
      <w:r>
        <w:rPr>
          <w:rFonts w:ascii="Arial" w:eastAsia="Arial" w:hAnsi="Arial" w:cs="Arial"/>
          <w:sz w:val="20"/>
          <w:szCs w:val="20"/>
          <w:vertAlign w:val="superscript"/>
        </w:rPr>
        <w:footnoteReference w:id="4"/>
      </w:r>
      <w:r>
        <w:rPr>
          <w:rFonts w:ascii="Arial" w:eastAsia="Arial" w:hAnsi="Arial" w:cs="Arial"/>
          <w:sz w:val="20"/>
          <w:szCs w:val="20"/>
        </w:rPr>
        <w:t>:</w:t>
      </w:r>
      <w:r>
        <w:rPr>
          <w:rFonts w:ascii="Arial" w:eastAsia="Arial" w:hAnsi="Arial" w:cs="Arial"/>
          <w:b/>
          <w:sz w:val="20"/>
          <w:szCs w:val="20"/>
        </w:rPr>
        <w:t xml:space="preserve">  </w:t>
      </w:r>
    </w:p>
    <w:p w14:paraId="2DBBFBF1" w14:textId="77777777" w:rsidR="001763FE" w:rsidRDefault="001763FE">
      <w:pPr>
        <w:spacing w:after="0" w:line="240" w:lineRule="auto"/>
        <w:ind w:left="709"/>
        <w:jc w:val="both"/>
        <w:rPr>
          <w:rFonts w:ascii="Arial" w:eastAsia="Arial" w:hAnsi="Arial" w:cs="Arial"/>
          <w:b/>
          <w:sz w:val="20"/>
          <w:szCs w:val="20"/>
        </w:rPr>
      </w:pPr>
    </w:p>
    <w:p w14:paraId="1FBD2618" w14:textId="77777777" w:rsidR="001763FE" w:rsidRDefault="00000000">
      <w:pPr>
        <w:numPr>
          <w:ilvl w:val="2"/>
          <w:numId w:val="1"/>
        </w:numPr>
        <w:spacing w:after="0" w:line="240" w:lineRule="auto"/>
        <w:ind w:left="1418"/>
        <w:jc w:val="both"/>
        <w:rPr>
          <w:rFonts w:ascii="Arial" w:eastAsia="Arial" w:hAnsi="Arial" w:cs="Arial"/>
          <w:sz w:val="20"/>
          <w:szCs w:val="20"/>
        </w:rPr>
      </w:pPr>
      <w:r>
        <w:rPr>
          <w:rFonts w:ascii="Arial" w:eastAsia="Arial" w:hAnsi="Arial" w:cs="Arial"/>
          <w:b/>
          <w:sz w:val="20"/>
          <w:szCs w:val="20"/>
        </w:rPr>
        <w:t xml:space="preserve">Adecuación: </w:t>
      </w:r>
      <w:r>
        <w:rPr>
          <w:rFonts w:ascii="Arial" w:eastAsia="Arial" w:hAnsi="Arial" w:cs="Arial"/>
          <w:sz w:val="20"/>
          <w:szCs w:val="20"/>
        </w:rPr>
        <w:t>Autorización para cambiar el uso de una edificación o parte de ella, garantizando la permanencia total o parcial del inmueble original.  </w:t>
      </w:r>
    </w:p>
    <w:p w14:paraId="366B1C85" w14:textId="77777777" w:rsidR="001763FE" w:rsidRDefault="001763FE">
      <w:pPr>
        <w:spacing w:after="0" w:line="240" w:lineRule="auto"/>
        <w:ind w:left="1276"/>
        <w:jc w:val="both"/>
        <w:rPr>
          <w:rFonts w:ascii="Arial" w:eastAsia="Arial" w:hAnsi="Arial" w:cs="Arial"/>
          <w:sz w:val="20"/>
          <w:szCs w:val="20"/>
        </w:rPr>
      </w:pPr>
    </w:p>
    <w:p w14:paraId="4631DDD4" w14:textId="77777777" w:rsidR="001763FE" w:rsidRDefault="00000000">
      <w:pPr>
        <w:numPr>
          <w:ilvl w:val="2"/>
          <w:numId w:val="1"/>
        </w:numPr>
        <w:spacing w:after="0" w:line="240" w:lineRule="auto"/>
        <w:ind w:left="1418"/>
        <w:jc w:val="both"/>
        <w:rPr>
          <w:rFonts w:ascii="Arial" w:eastAsia="Arial" w:hAnsi="Arial" w:cs="Arial"/>
          <w:sz w:val="20"/>
          <w:szCs w:val="20"/>
        </w:rPr>
      </w:pPr>
      <w:r>
        <w:rPr>
          <w:rFonts w:ascii="Arial" w:eastAsia="Arial" w:hAnsi="Arial" w:cs="Arial"/>
          <w:b/>
          <w:sz w:val="20"/>
          <w:szCs w:val="20"/>
        </w:rPr>
        <w:t xml:space="preserve">Ampliación: </w:t>
      </w:r>
      <w:r>
        <w:rPr>
          <w:rFonts w:ascii="Arial" w:eastAsia="Arial" w:hAnsi="Arial" w:cs="Arial"/>
          <w:sz w:val="20"/>
          <w:szCs w:val="20"/>
        </w:rPr>
        <w:t xml:space="preserve">Autorización para incrementar el área construida de una edificación existente, entendiéndose por área construida la parte edificada que corresponde a la suma de las superficies de los pisos, excluyendo azoteas y áreas sin cubrir o techar. La edificación que incremente el área construida podrá aprobarse adosada o aislada de la construcción existente, pero en todo caso la sumatoria de ambas </w:t>
      </w:r>
      <w:r>
        <w:rPr>
          <w:rFonts w:ascii="Arial" w:eastAsia="Arial" w:hAnsi="Arial" w:cs="Arial"/>
          <w:sz w:val="20"/>
          <w:szCs w:val="20"/>
        </w:rPr>
        <w:lastRenderedPageBreak/>
        <w:t>debe circunscribirse al potencial de construcción permitido para el predio o predios objeto de la licencia según lo definido en las normas urbanísticas.  </w:t>
      </w:r>
    </w:p>
    <w:p w14:paraId="0217DABF" w14:textId="77777777" w:rsidR="001763FE" w:rsidRDefault="001763FE">
      <w:pPr>
        <w:spacing w:after="0" w:line="240" w:lineRule="auto"/>
        <w:ind w:left="1418"/>
        <w:jc w:val="both"/>
        <w:rPr>
          <w:rFonts w:ascii="Arial" w:eastAsia="Arial" w:hAnsi="Arial" w:cs="Arial"/>
          <w:sz w:val="20"/>
          <w:szCs w:val="20"/>
        </w:rPr>
      </w:pPr>
    </w:p>
    <w:p w14:paraId="682F84DC" w14:textId="77777777" w:rsidR="001763FE" w:rsidRDefault="00000000">
      <w:pPr>
        <w:numPr>
          <w:ilvl w:val="2"/>
          <w:numId w:val="1"/>
        </w:numPr>
        <w:spacing w:after="0" w:line="240" w:lineRule="auto"/>
        <w:ind w:left="1418"/>
        <w:jc w:val="both"/>
        <w:rPr>
          <w:rFonts w:ascii="Arial" w:eastAsia="Arial" w:hAnsi="Arial" w:cs="Arial"/>
          <w:sz w:val="20"/>
          <w:szCs w:val="20"/>
        </w:rPr>
      </w:pPr>
      <w:r>
        <w:rPr>
          <w:rFonts w:ascii="Arial" w:eastAsia="Arial" w:hAnsi="Arial" w:cs="Arial"/>
          <w:b/>
          <w:sz w:val="20"/>
          <w:szCs w:val="20"/>
        </w:rPr>
        <w:t xml:space="preserve">Cerramiento: </w:t>
      </w:r>
      <w:r>
        <w:rPr>
          <w:rFonts w:ascii="Arial" w:eastAsia="Arial" w:hAnsi="Arial" w:cs="Arial"/>
          <w:sz w:val="20"/>
          <w:szCs w:val="20"/>
        </w:rPr>
        <w:t>Autorización para encerrar de manera permanente un predio de propiedad privada.</w:t>
      </w:r>
    </w:p>
    <w:p w14:paraId="0208E3F7" w14:textId="77777777" w:rsidR="001763FE" w:rsidRDefault="001763FE">
      <w:pPr>
        <w:spacing w:after="0" w:line="240" w:lineRule="auto"/>
        <w:ind w:left="1418"/>
        <w:jc w:val="both"/>
        <w:rPr>
          <w:rFonts w:ascii="Arial" w:eastAsia="Arial" w:hAnsi="Arial" w:cs="Arial"/>
          <w:sz w:val="20"/>
          <w:szCs w:val="20"/>
        </w:rPr>
      </w:pPr>
    </w:p>
    <w:p w14:paraId="2A1E1E66" w14:textId="77777777" w:rsidR="001763FE" w:rsidRDefault="00000000">
      <w:pPr>
        <w:numPr>
          <w:ilvl w:val="2"/>
          <w:numId w:val="1"/>
        </w:numPr>
        <w:spacing w:after="0" w:line="240" w:lineRule="auto"/>
        <w:ind w:left="1418"/>
        <w:jc w:val="both"/>
        <w:rPr>
          <w:rFonts w:ascii="Arial" w:eastAsia="Arial" w:hAnsi="Arial" w:cs="Arial"/>
          <w:sz w:val="20"/>
          <w:szCs w:val="20"/>
        </w:rPr>
      </w:pPr>
      <w:r>
        <w:rPr>
          <w:rFonts w:ascii="Arial" w:eastAsia="Arial" w:hAnsi="Arial" w:cs="Arial"/>
          <w:b/>
          <w:sz w:val="20"/>
          <w:szCs w:val="20"/>
        </w:rPr>
        <w:t xml:space="preserve">Demolición: </w:t>
      </w:r>
      <w:r>
        <w:rPr>
          <w:rFonts w:ascii="Arial" w:eastAsia="Arial" w:hAnsi="Arial" w:cs="Arial"/>
          <w:sz w:val="20"/>
          <w:szCs w:val="20"/>
        </w:rPr>
        <w:t>Autorización para derribar total o parcialmente una o varias edificaciones existentes en uno o varios predios y deberá concederse de manera simultánea con cualquiera otra modalidad de licencia de construcción.  </w:t>
      </w:r>
    </w:p>
    <w:p w14:paraId="6080F437" w14:textId="77777777" w:rsidR="001763FE" w:rsidRDefault="001763FE">
      <w:pPr>
        <w:spacing w:after="0" w:line="240" w:lineRule="auto"/>
        <w:ind w:left="1418"/>
        <w:jc w:val="both"/>
        <w:rPr>
          <w:rFonts w:ascii="Arial" w:eastAsia="Arial" w:hAnsi="Arial" w:cs="Arial"/>
          <w:b/>
          <w:sz w:val="20"/>
          <w:szCs w:val="20"/>
        </w:rPr>
      </w:pPr>
    </w:p>
    <w:p w14:paraId="4E25C58F" w14:textId="77777777" w:rsidR="001763FE" w:rsidRDefault="00000000">
      <w:pPr>
        <w:spacing w:after="0" w:line="240" w:lineRule="auto"/>
        <w:ind w:left="1418"/>
        <w:jc w:val="both"/>
        <w:rPr>
          <w:rFonts w:ascii="Arial" w:eastAsia="Arial" w:hAnsi="Arial" w:cs="Arial"/>
          <w:sz w:val="20"/>
          <w:szCs w:val="20"/>
        </w:rPr>
      </w:pPr>
      <w:r>
        <w:rPr>
          <w:rFonts w:ascii="Arial" w:eastAsia="Arial" w:hAnsi="Arial" w:cs="Arial"/>
          <w:sz w:val="20"/>
          <w:szCs w:val="20"/>
        </w:rPr>
        <w:t>No se requerirá esta modalidad de licencia cuando se trate de programas o proyectos de renovación urbana, del cumplimiento de orden judicial o administrativa, o de la ejecución de obras de infraestructura vial o de servicios públicos domiciliarios que se encuentren contemplados en el Plan de Ordenamiento Territorial o en los instrumentos que lo desarrollen y complementen.  </w:t>
      </w:r>
    </w:p>
    <w:p w14:paraId="1A18E827" w14:textId="77777777" w:rsidR="001763FE" w:rsidRDefault="001763FE">
      <w:pPr>
        <w:spacing w:after="0" w:line="240" w:lineRule="auto"/>
        <w:ind w:left="1418"/>
        <w:jc w:val="both"/>
        <w:rPr>
          <w:rFonts w:ascii="Arial" w:eastAsia="Arial" w:hAnsi="Arial" w:cs="Arial"/>
          <w:b/>
          <w:sz w:val="20"/>
          <w:szCs w:val="20"/>
        </w:rPr>
      </w:pPr>
    </w:p>
    <w:p w14:paraId="488ED48B" w14:textId="77777777" w:rsidR="001763FE" w:rsidRDefault="00000000">
      <w:pPr>
        <w:spacing w:after="0" w:line="240" w:lineRule="auto"/>
        <w:ind w:left="1418"/>
        <w:jc w:val="both"/>
        <w:rPr>
          <w:rFonts w:ascii="Arial" w:eastAsia="Arial" w:hAnsi="Arial" w:cs="Arial"/>
          <w:sz w:val="20"/>
          <w:szCs w:val="20"/>
        </w:rPr>
      </w:pPr>
      <w:r>
        <w:rPr>
          <w:rFonts w:ascii="Arial" w:eastAsia="Arial" w:hAnsi="Arial" w:cs="Arial"/>
          <w:sz w:val="20"/>
          <w:szCs w:val="20"/>
        </w:rPr>
        <w:t>Tratándose de predios ubicados en área de influencia de un sector urbano declarado bien de interés cultural, esta modalidad se deberá otorgar con la modalidad de cerramiento. Las demás modalidades de licencia de construcción solo se podrán expedir cuando se aporte el anteproyecto de intervención aprobado por la autoridad competente.  </w:t>
      </w:r>
    </w:p>
    <w:p w14:paraId="2A7CB110" w14:textId="77777777" w:rsidR="001763FE" w:rsidRDefault="001763FE">
      <w:pPr>
        <w:spacing w:after="0" w:line="240" w:lineRule="auto"/>
        <w:ind w:left="1418"/>
        <w:jc w:val="both"/>
        <w:rPr>
          <w:rFonts w:ascii="Arial" w:eastAsia="Arial" w:hAnsi="Arial" w:cs="Arial"/>
          <w:sz w:val="20"/>
          <w:szCs w:val="20"/>
        </w:rPr>
      </w:pPr>
    </w:p>
    <w:p w14:paraId="0CA1811E" w14:textId="77777777" w:rsidR="001763FE" w:rsidRDefault="00000000">
      <w:pPr>
        <w:numPr>
          <w:ilvl w:val="2"/>
          <w:numId w:val="1"/>
        </w:numPr>
        <w:spacing w:after="0" w:line="240" w:lineRule="auto"/>
        <w:ind w:left="1418"/>
        <w:jc w:val="both"/>
        <w:rPr>
          <w:rFonts w:ascii="Arial" w:eastAsia="Arial" w:hAnsi="Arial" w:cs="Arial"/>
          <w:b/>
          <w:sz w:val="20"/>
          <w:szCs w:val="20"/>
        </w:rPr>
      </w:pPr>
      <w:r>
        <w:rPr>
          <w:rFonts w:ascii="Arial" w:eastAsia="Arial" w:hAnsi="Arial" w:cs="Arial"/>
          <w:b/>
          <w:sz w:val="20"/>
          <w:szCs w:val="20"/>
        </w:rPr>
        <w:t xml:space="preserve">Modificación: </w:t>
      </w:r>
      <w:r>
        <w:rPr>
          <w:rFonts w:ascii="Arial" w:eastAsia="Arial" w:hAnsi="Arial" w:cs="Arial"/>
          <w:sz w:val="20"/>
          <w:szCs w:val="20"/>
        </w:rPr>
        <w:t>Autorización para variar el diseño arquitectónico o estructural de una edificación existente, sin incrementar su área construida.</w:t>
      </w:r>
      <w:r>
        <w:rPr>
          <w:rFonts w:ascii="Arial" w:eastAsia="Arial" w:hAnsi="Arial" w:cs="Arial"/>
          <w:b/>
          <w:sz w:val="20"/>
          <w:szCs w:val="20"/>
        </w:rPr>
        <w:t xml:space="preserve">  </w:t>
      </w:r>
    </w:p>
    <w:p w14:paraId="2AE30842" w14:textId="77777777" w:rsidR="001763FE" w:rsidRDefault="001763FE">
      <w:pPr>
        <w:spacing w:after="0" w:line="240" w:lineRule="auto"/>
        <w:ind w:left="709"/>
        <w:jc w:val="both"/>
        <w:rPr>
          <w:rFonts w:ascii="Arial" w:eastAsia="Arial" w:hAnsi="Arial" w:cs="Arial"/>
          <w:sz w:val="20"/>
          <w:szCs w:val="20"/>
        </w:rPr>
      </w:pPr>
    </w:p>
    <w:p w14:paraId="62C093D5" w14:textId="77777777" w:rsidR="001763FE" w:rsidRDefault="00000000">
      <w:pPr>
        <w:numPr>
          <w:ilvl w:val="2"/>
          <w:numId w:val="1"/>
        </w:numPr>
        <w:spacing w:after="0" w:line="240" w:lineRule="auto"/>
        <w:ind w:left="1418"/>
        <w:jc w:val="both"/>
        <w:rPr>
          <w:rFonts w:ascii="Arial" w:eastAsia="Arial" w:hAnsi="Arial" w:cs="Arial"/>
          <w:sz w:val="20"/>
          <w:szCs w:val="20"/>
        </w:rPr>
      </w:pPr>
      <w:r>
        <w:rPr>
          <w:rFonts w:ascii="Arial" w:eastAsia="Arial" w:hAnsi="Arial" w:cs="Arial"/>
          <w:b/>
          <w:sz w:val="20"/>
          <w:szCs w:val="20"/>
        </w:rPr>
        <w:t>Obra nueva:</w:t>
      </w:r>
      <w:r>
        <w:rPr>
          <w:rFonts w:ascii="Arial" w:eastAsia="Arial" w:hAnsi="Arial" w:cs="Arial"/>
          <w:sz w:val="20"/>
          <w:szCs w:val="20"/>
        </w:rPr>
        <w:t xml:space="preserve"> Autorización para adelantar obras de edificación en terrenos no construidos o cuya área esté libre por autorización de demolición total.</w:t>
      </w:r>
    </w:p>
    <w:p w14:paraId="10F433A4" w14:textId="77777777" w:rsidR="001763FE" w:rsidRDefault="001763FE">
      <w:pPr>
        <w:spacing w:after="0" w:line="240" w:lineRule="auto"/>
        <w:ind w:left="1418"/>
        <w:jc w:val="both"/>
      </w:pPr>
    </w:p>
    <w:p w14:paraId="036DC537" w14:textId="77777777" w:rsidR="001763FE" w:rsidRDefault="00000000">
      <w:pPr>
        <w:numPr>
          <w:ilvl w:val="2"/>
          <w:numId w:val="1"/>
        </w:numPr>
        <w:spacing w:after="0" w:line="240" w:lineRule="auto"/>
        <w:ind w:left="1418"/>
        <w:jc w:val="both"/>
        <w:rPr>
          <w:rFonts w:ascii="Arial" w:eastAsia="Arial" w:hAnsi="Arial" w:cs="Arial"/>
          <w:sz w:val="20"/>
          <w:szCs w:val="20"/>
        </w:rPr>
      </w:pPr>
      <w:r>
        <w:rPr>
          <w:rFonts w:ascii="Arial" w:eastAsia="Arial" w:hAnsi="Arial" w:cs="Arial"/>
          <w:b/>
          <w:sz w:val="20"/>
          <w:szCs w:val="20"/>
        </w:rPr>
        <w:t xml:space="preserve">Reconstrucción: </w:t>
      </w:r>
      <w:r>
        <w:rPr>
          <w:rFonts w:ascii="Arial" w:eastAsia="Arial" w:hAnsi="Arial" w:cs="Arial"/>
          <w:sz w:val="20"/>
          <w:szCs w:val="20"/>
        </w:rPr>
        <w:t>Autorización que se otorga para volver a construir edificaciones que contaban con licencia o con acto de reconocimiento y que fueron afectadas por la ocurrencia de algún siniestro. Esta modalidad de licencia se limitará a autorizar la reconstrucción de la edificación en las mismas condiciones aprobadas por la licencia original, los actos de reconocimientos y sus modificaciones.  </w:t>
      </w:r>
    </w:p>
    <w:p w14:paraId="25339005" w14:textId="77777777" w:rsidR="001763FE" w:rsidRDefault="001763FE">
      <w:pPr>
        <w:spacing w:after="0" w:line="240" w:lineRule="auto"/>
        <w:ind w:left="1418"/>
        <w:jc w:val="both"/>
        <w:rPr>
          <w:rFonts w:ascii="Arial" w:eastAsia="Arial" w:hAnsi="Arial" w:cs="Arial"/>
          <w:b/>
          <w:sz w:val="20"/>
          <w:szCs w:val="20"/>
        </w:rPr>
      </w:pPr>
    </w:p>
    <w:p w14:paraId="4628DCC5" w14:textId="77777777" w:rsidR="001763FE" w:rsidRDefault="00000000">
      <w:pPr>
        <w:numPr>
          <w:ilvl w:val="2"/>
          <w:numId w:val="1"/>
        </w:numPr>
        <w:spacing w:after="0" w:line="240" w:lineRule="auto"/>
        <w:ind w:left="1418"/>
        <w:jc w:val="both"/>
        <w:rPr>
          <w:rFonts w:ascii="Arial" w:eastAsia="Arial" w:hAnsi="Arial" w:cs="Arial"/>
          <w:sz w:val="20"/>
          <w:szCs w:val="20"/>
        </w:rPr>
      </w:pPr>
      <w:r>
        <w:rPr>
          <w:rFonts w:ascii="Arial" w:eastAsia="Arial" w:hAnsi="Arial" w:cs="Arial"/>
          <w:b/>
          <w:sz w:val="20"/>
          <w:szCs w:val="20"/>
        </w:rPr>
        <w:t xml:space="preserve">Reforzamiento Estructural: </w:t>
      </w:r>
      <w:r>
        <w:rPr>
          <w:rFonts w:ascii="Arial" w:eastAsia="Arial" w:hAnsi="Arial" w:cs="Arial"/>
          <w:sz w:val="20"/>
          <w:szCs w:val="20"/>
        </w:rPr>
        <w:t>Autorización para intervenir o reforzar la estructura de uno o varios inmuebles con el objeto de acondicionarlos a niveles adecuados de seguridad sismorresistente de acuerdo con los requisitos de la Ley 400 de 1997, sus decretos reglamentarios, o las normas que los adicionen, modifiquen o sustituyan y el Reglamento Colombiano de Construcción Sismorresistente y la norma que lo adicione, modifique o sustituya. Esta modalidad de licencia se podrá otorgar sin perjuicio del posterior cumplimiento de las normas urbanísticas vigentes, actos de legalización y/o el reconocimiento de edificaciones construidas sin licencia, siempre y cuando en este último caso la edificación se haya concluido como mínimo cinco (5) años antes de la solicitud de reforzamiento y no se encuentre en ninguna de las situaciones previstas en el artículo 2.2.6.4.1.2 del Decreto 1077 de 2015. Cuando se tramite sin incluir ninguna otra modalidad de licencia, su expedición no implicará aprobación de usos ni autorización para ejecutar obras diferentes a las del reforzamiento estructural.  </w:t>
      </w:r>
    </w:p>
    <w:p w14:paraId="28AA39F3" w14:textId="77777777" w:rsidR="001763FE" w:rsidRDefault="001763FE">
      <w:pPr>
        <w:spacing w:after="0" w:line="240" w:lineRule="auto"/>
        <w:ind w:left="1418"/>
        <w:jc w:val="both"/>
        <w:rPr>
          <w:rFonts w:ascii="Arial" w:eastAsia="Arial" w:hAnsi="Arial" w:cs="Arial"/>
          <w:b/>
          <w:sz w:val="20"/>
          <w:szCs w:val="20"/>
        </w:rPr>
      </w:pPr>
    </w:p>
    <w:p w14:paraId="257DE497" w14:textId="77777777" w:rsidR="001763FE" w:rsidRDefault="00000000">
      <w:pPr>
        <w:numPr>
          <w:ilvl w:val="2"/>
          <w:numId w:val="1"/>
        </w:numPr>
        <w:spacing w:after="0" w:line="240" w:lineRule="auto"/>
        <w:ind w:left="1417"/>
        <w:jc w:val="both"/>
        <w:rPr>
          <w:b/>
        </w:rPr>
      </w:pPr>
      <w:r>
        <w:rPr>
          <w:rFonts w:ascii="Arial" w:eastAsia="Arial" w:hAnsi="Arial" w:cs="Arial"/>
          <w:b/>
          <w:sz w:val="20"/>
          <w:szCs w:val="20"/>
        </w:rPr>
        <w:t xml:space="preserve">Restauración: </w:t>
      </w:r>
      <w:r>
        <w:rPr>
          <w:rFonts w:ascii="Arial" w:eastAsia="Arial" w:hAnsi="Arial" w:cs="Arial"/>
          <w:sz w:val="20"/>
          <w:szCs w:val="20"/>
        </w:rPr>
        <w:t xml:space="preserve">Autorización para adelantar las obras tendientes a recuperar y adaptar un inmueble o parte de este, con el fin de conservar y revelar sus valores estéticos, históricos y simbólicos. Se fundamenta en el respeto por su integridad y autenticidad. Esta modalidad de licencia incluirá las liberaciones o demoliciones </w:t>
      </w:r>
      <w:r>
        <w:rPr>
          <w:rFonts w:ascii="Arial" w:eastAsia="Arial" w:hAnsi="Arial" w:cs="Arial"/>
          <w:sz w:val="20"/>
          <w:szCs w:val="20"/>
        </w:rPr>
        <w:lastRenderedPageBreak/>
        <w:t>parciales de agregados de los bienes de interés cultural aprobadas por parte de la autoridad competente en los anteproyectos que autoricen su intervención.</w:t>
      </w:r>
      <w:r>
        <w:rPr>
          <w:rFonts w:ascii="Arial" w:eastAsia="Arial" w:hAnsi="Arial" w:cs="Arial"/>
          <w:b/>
          <w:sz w:val="20"/>
          <w:szCs w:val="20"/>
        </w:rPr>
        <w:t xml:space="preserve">  </w:t>
      </w:r>
    </w:p>
    <w:p w14:paraId="69B72901" w14:textId="77777777" w:rsidR="001763FE" w:rsidRDefault="001763FE">
      <w:pPr>
        <w:spacing w:after="0" w:line="240" w:lineRule="auto"/>
        <w:jc w:val="both"/>
        <w:rPr>
          <w:rFonts w:ascii="Arial" w:eastAsia="Arial" w:hAnsi="Arial" w:cs="Arial"/>
          <w:sz w:val="20"/>
          <w:szCs w:val="20"/>
        </w:rPr>
      </w:pPr>
    </w:p>
    <w:p w14:paraId="32ACF563"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Lo Público: </w:t>
      </w:r>
      <w:r>
        <w:rPr>
          <w:rFonts w:ascii="Arial" w:eastAsia="Arial" w:hAnsi="Arial" w:cs="Arial"/>
          <w:sz w:val="20"/>
          <w:szCs w:val="20"/>
        </w:rPr>
        <w:t>Entendido como lo que es de todos y para todos, es el conjunto de elementos y acciones de los ciudadanos y de las instituciones mediante las cuales se busca la satisfacción de necesidades, expectativas y proyectos tanto individuales como colectivos.</w:t>
      </w:r>
    </w:p>
    <w:p w14:paraId="304EB1A1" w14:textId="77777777" w:rsidR="001763FE" w:rsidRDefault="001763FE">
      <w:pPr>
        <w:spacing w:after="0" w:line="240" w:lineRule="auto"/>
        <w:ind w:left="709"/>
        <w:jc w:val="both"/>
        <w:rPr>
          <w:rFonts w:ascii="Arial" w:eastAsia="Arial" w:hAnsi="Arial" w:cs="Arial"/>
          <w:b/>
          <w:sz w:val="20"/>
          <w:szCs w:val="20"/>
        </w:rPr>
      </w:pPr>
    </w:p>
    <w:p w14:paraId="56013F1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Modificación: </w:t>
      </w:r>
      <w:r>
        <w:rPr>
          <w:rFonts w:ascii="Arial" w:eastAsia="Arial" w:hAnsi="Arial" w:cs="Arial"/>
          <w:sz w:val="20"/>
          <w:szCs w:val="20"/>
        </w:rPr>
        <w:t xml:space="preserve">Actividades constructivas para variar el diseño arquitectónico o estructural de una edificación existente, sin incrementar su área construida. </w:t>
      </w:r>
    </w:p>
    <w:p w14:paraId="08DE016B" w14:textId="77777777" w:rsidR="001763FE" w:rsidRDefault="001763FE">
      <w:pPr>
        <w:spacing w:after="0" w:line="240" w:lineRule="auto"/>
        <w:ind w:left="709"/>
        <w:jc w:val="both"/>
        <w:rPr>
          <w:rFonts w:ascii="Arial" w:eastAsia="Arial" w:hAnsi="Arial" w:cs="Arial"/>
          <w:b/>
          <w:sz w:val="20"/>
          <w:szCs w:val="20"/>
        </w:rPr>
      </w:pPr>
    </w:p>
    <w:p w14:paraId="47E911DB" w14:textId="77777777" w:rsidR="001763FE" w:rsidRDefault="00000000">
      <w:pPr>
        <w:numPr>
          <w:ilvl w:val="1"/>
          <w:numId w:val="1"/>
        </w:numPr>
        <w:spacing w:after="0" w:line="240" w:lineRule="auto"/>
        <w:ind w:left="709" w:hanging="709"/>
        <w:jc w:val="both"/>
        <w:rPr>
          <w:rFonts w:ascii="Arial" w:eastAsia="Arial" w:hAnsi="Arial" w:cs="Arial"/>
          <w:b/>
          <w:sz w:val="18"/>
          <w:szCs w:val="18"/>
        </w:rPr>
      </w:pPr>
      <w:r>
        <w:rPr>
          <w:rFonts w:ascii="Arial" w:eastAsia="Arial" w:hAnsi="Arial" w:cs="Arial"/>
          <w:b/>
          <w:sz w:val="20"/>
          <w:szCs w:val="20"/>
        </w:rPr>
        <w:t>Monitoreo:</w:t>
      </w:r>
      <w:r>
        <w:rPr>
          <w:rFonts w:ascii="Arial" w:eastAsia="Arial" w:hAnsi="Arial" w:cs="Arial"/>
          <w:sz w:val="20"/>
          <w:szCs w:val="20"/>
        </w:rPr>
        <w:t xml:space="preserve"> Actividad consistente en efectuar observaciones, mediciones y evaluaciones continuas de una característica, elemento, parámetro o de un proceso en un sitio y período determinados, con el objeto de verificar los impactos y riesgos potenciales hacia el ambiente y la salud pública.</w:t>
      </w:r>
    </w:p>
    <w:p w14:paraId="535EC9F0" w14:textId="77777777" w:rsidR="001763FE" w:rsidRDefault="001763FE">
      <w:pPr>
        <w:spacing w:after="0" w:line="240" w:lineRule="auto"/>
        <w:ind w:left="709"/>
        <w:jc w:val="both"/>
        <w:rPr>
          <w:rFonts w:ascii="Arial" w:eastAsia="Arial" w:hAnsi="Arial" w:cs="Arial"/>
          <w:b/>
          <w:sz w:val="20"/>
          <w:szCs w:val="20"/>
        </w:rPr>
      </w:pPr>
    </w:p>
    <w:p w14:paraId="7675CBAF"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Muro de Carga: </w:t>
      </w:r>
      <w:r>
        <w:rPr>
          <w:rFonts w:ascii="Arial" w:eastAsia="Arial" w:hAnsi="Arial" w:cs="Arial"/>
          <w:sz w:val="20"/>
          <w:szCs w:val="20"/>
        </w:rPr>
        <w:t xml:space="preserve">Estructura continua hasta la cimentación que soporta principalmente cargas verticales. </w:t>
      </w:r>
    </w:p>
    <w:p w14:paraId="2013EE10" w14:textId="77777777" w:rsidR="001763FE" w:rsidRDefault="001763FE">
      <w:pPr>
        <w:spacing w:after="0" w:line="240" w:lineRule="auto"/>
        <w:ind w:left="709"/>
        <w:jc w:val="both"/>
        <w:rPr>
          <w:rFonts w:ascii="Arial" w:eastAsia="Arial" w:hAnsi="Arial" w:cs="Arial"/>
          <w:b/>
          <w:sz w:val="20"/>
          <w:szCs w:val="20"/>
        </w:rPr>
      </w:pPr>
    </w:p>
    <w:p w14:paraId="37A0AE7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NSR: </w:t>
      </w:r>
      <w:r>
        <w:rPr>
          <w:rFonts w:ascii="Arial" w:eastAsia="Arial" w:hAnsi="Arial" w:cs="Arial"/>
          <w:sz w:val="20"/>
          <w:szCs w:val="20"/>
        </w:rPr>
        <w:t xml:space="preserve">Reglamento Colombiano de Construcción Sismo Resistente, actualmente en su versión NSR-10. </w:t>
      </w:r>
    </w:p>
    <w:p w14:paraId="2A51A5C2" w14:textId="77777777" w:rsidR="001763FE" w:rsidRDefault="001763FE">
      <w:pPr>
        <w:spacing w:after="0" w:line="240" w:lineRule="auto"/>
        <w:ind w:left="709"/>
        <w:jc w:val="both"/>
        <w:rPr>
          <w:rFonts w:ascii="Arial" w:eastAsia="Arial" w:hAnsi="Arial" w:cs="Arial"/>
          <w:b/>
          <w:sz w:val="20"/>
          <w:szCs w:val="20"/>
        </w:rPr>
      </w:pPr>
    </w:p>
    <w:p w14:paraId="1950C27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Objetos de interés cultural: </w:t>
      </w:r>
      <w:r>
        <w:rPr>
          <w:rFonts w:ascii="Arial" w:eastAsia="Arial" w:hAnsi="Arial" w:cs="Arial"/>
          <w:sz w:val="20"/>
          <w:szCs w:val="20"/>
        </w:rPr>
        <w:t>Bienes muebles e inmuebles producto de la creación humana, tales como documentos, fotografías, pinturas, esculturas, textiles, mobiliario, material arqueológico, objetos etnográficos, etc.</w:t>
      </w:r>
    </w:p>
    <w:p w14:paraId="4A422C65" w14:textId="77777777" w:rsidR="001763FE" w:rsidRDefault="001763FE">
      <w:pPr>
        <w:pBdr>
          <w:top w:val="nil"/>
          <w:left w:val="nil"/>
          <w:bottom w:val="nil"/>
          <w:right w:val="nil"/>
          <w:between w:val="nil"/>
        </w:pBdr>
        <w:spacing w:after="0"/>
        <w:ind w:left="720"/>
        <w:rPr>
          <w:rFonts w:ascii="Arial" w:eastAsia="Arial" w:hAnsi="Arial" w:cs="Arial"/>
          <w:b/>
          <w:color w:val="000000"/>
          <w:sz w:val="20"/>
          <w:szCs w:val="20"/>
        </w:rPr>
      </w:pPr>
    </w:p>
    <w:p w14:paraId="67AE099D"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Paramento: </w:t>
      </w:r>
      <w:r>
        <w:rPr>
          <w:rFonts w:ascii="Arial" w:eastAsia="Arial" w:hAnsi="Arial" w:cs="Arial"/>
          <w:sz w:val="20"/>
          <w:szCs w:val="20"/>
        </w:rPr>
        <w:t>Plano vertical que delimita el inicio de la construcción en un predio. Cuando no existe antejardín coincide con la línea de demarcación.</w:t>
      </w:r>
      <w:r>
        <w:rPr>
          <w:rFonts w:ascii="Arial" w:eastAsia="Arial" w:hAnsi="Arial" w:cs="Arial"/>
          <w:b/>
          <w:sz w:val="20"/>
          <w:szCs w:val="20"/>
        </w:rPr>
        <w:t xml:space="preserve"> </w:t>
      </w:r>
    </w:p>
    <w:p w14:paraId="1AB3AD98" w14:textId="77777777" w:rsidR="001763FE" w:rsidRDefault="001763FE">
      <w:pPr>
        <w:spacing w:after="0" w:line="240" w:lineRule="auto"/>
        <w:ind w:left="709"/>
        <w:jc w:val="both"/>
        <w:rPr>
          <w:rFonts w:ascii="Arial" w:eastAsia="Arial" w:hAnsi="Arial" w:cs="Arial"/>
          <w:b/>
          <w:sz w:val="20"/>
          <w:szCs w:val="20"/>
        </w:rPr>
      </w:pPr>
    </w:p>
    <w:p w14:paraId="7A1766B9"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Parques:</w:t>
      </w:r>
      <w:r>
        <w:rPr>
          <w:rFonts w:ascii="Arial" w:eastAsia="Arial" w:hAnsi="Arial" w:cs="Arial"/>
          <w:sz w:val="20"/>
          <w:szCs w:val="20"/>
        </w:rPr>
        <w:t xml:space="preserve"> Áreas libres públicas, predominantemente arborizadas y/o ajardinadas que se encuentran localizadas en suelo urbano, y se haya destinada a la recreación, esparcimiento y el ocio, así como a la generación y preservación de los valores paisajísticos ambientales. </w:t>
      </w:r>
    </w:p>
    <w:p w14:paraId="6ECCC47C" w14:textId="77777777" w:rsidR="001763FE" w:rsidRDefault="001763FE">
      <w:pPr>
        <w:spacing w:after="0" w:line="240" w:lineRule="auto"/>
        <w:ind w:left="720"/>
        <w:jc w:val="both"/>
        <w:rPr>
          <w:b/>
        </w:rPr>
      </w:pPr>
    </w:p>
    <w:p w14:paraId="409ABDDC"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highlight w:val="white"/>
        </w:rPr>
        <w:t>Parques de Recreación Activa: </w:t>
      </w:r>
      <w:r>
        <w:rPr>
          <w:rFonts w:ascii="Arial" w:eastAsia="Arial" w:hAnsi="Arial" w:cs="Arial"/>
          <w:sz w:val="20"/>
          <w:szCs w:val="20"/>
          <w:highlight w:val="white"/>
        </w:rPr>
        <w:t>Parques en donde el área destinada a la recreación activa es superior al 30%, o en los que, por sus condiciones topográficas, el área libre no es apta para la recreación pasiva. Son, por lo general, parques con un índice de ocupación alto y en los cuales la cantidad de áreas verdes es reducida.</w:t>
      </w:r>
    </w:p>
    <w:p w14:paraId="0B7281A8" w14:textId="77777777" w:rsidR="001763FE" w:rsidRDefault="001763FE">
      <w:pPr>
        <w:spacing w:after="0" w:line="240" w:lineRule="auto"/>
        <w:ind w:left="720"/>
        <w:jc w:val="both"/>
        <w:rPr>
          <w:b/>
        </w:rPr>
      </w:pPr>
    </w:p>
    <w:p w14:paraId="42E4D09D"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highlight w:val="white"/>
        </w:rPr>
        <w:t xml:space="preserve">Parques de Recreación Pasiva: </w:t>
      </w:r>
      <w:r>
        <w:rPr>
          <w:rFonts w:ascii="Arial" w:eastAsia="Arial" w:hAnsi="Arial" w:cs="Arial"/>
          <w:sz w:val="20"/>
          <w:szCs w:val="20"/>
          <w:highlight w:val="white"/>
        </w:rPr>
        <w:t>Parques destinados en su totalidad a la recreación pasiva y contemplativa, adecuados como áreas verdes, áreas de tratamiento paisajístico o áreas duras arborizadas, son espacios vitales pues contribuyen con el equilibrio ambiental. Pueden contener zonas de juegos infantiles.</w:t>
      </w:r>
    </w:p>
    <w:p w14:paraId="5F23F4EB" w14:textId="77777777" w:rsidR="001763FE" w:rsidRDefault="001763FE">
      <w:pPr>
        <w:spacing w:after="0" w:line="240" w:lineRule="auto"/>
        <w:ind w:left="720"/>
        <w:jc w:val="both"/>
        <w:rPr>
          <w:b/>
        </w:rPr>
      </w:pPr>
    </w:p>
    <w:p w14:paraId="0177CC1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highlight w:val="white"/>
        </w:rPr>
        <w:t>Parques con vocación mixta o combinada: </w:t>
      </w:r>
      <w:r>
        <w:rPr>
          <w:rFonts w:ascii="Arial" w:eastAsia="Arial" w:hAnsi="Arial" w:cs="Arial"/>
          <w:sz w:val="20"/>
          <w:szCs w:val="20"/>
          <w:highlight w:val="white"/>
        </w:rPr>
        <w:t>Parques en los que entre el 1% y el 30% de área está destinada a la recreación activa, permitiendo la especialización de usos y configurando áreas verdes o áreas duras arborizadas aptas para el desarrollo de la recreación pasiva. Estos parques ejemplifican la proporción óptima entre las áreas destinadas a la recreación activa y pasiva, permitiendo la especialización de usos.</w:t>
      </w:r>
    </w:p>
    <w:p w14:paraId="6BDC62D8" w14:textId="77777777" w:rsidR="001763FE" w:rsidRDefault="001763FE">
      <w:pPr>
        <w:spacing w:after="0" w:line="240" w:lineRule="auto"/>
        <w:ind w:left="720"/>
        <w:jc w:val="both"/>
        <w:rPr>
          <w:rFonts w:ascii="Arial" w:eastAsia="Arial" w:hAnsi="Arial" w:cs="Arial"/>
          <w:b/>
          <w:sz w:val="20"/>
          <w:szCs w:val="20"/>
        </w:rPr>
      </w:pPr>
    </w:p>
    <w:p w14:paraId="00C8DAEE"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Paso A Desnivel. </w:t>
      </w:r>
      <w:r>
        <w:rPr>
          <w:rFonts w:ascii="Arial" w:eastAsia="Arial" w:hAnsi="Arial" w:cs="Arial"/>
          <w:sz w:val="20"/>
          <w:szCs w:val="20"/>
        </w:rPr>
        <w:t>Es el cruce de dos o más vías donde se construyen pasos elevados o subterráneos para la solución de algunos flujos de tráfico.</w:t>
      </w:r>
    </w:p>
    <w:p w14:paraId="34838F0A" w14:textId="77777777" w:rsidR="001763FE" w:rsidRDefault="001763FE">
      <w:pPr>
        <w:spacing w:after="0" w:line="240" w:lineRule="auto"/>
        <w:jc w:val="both"/>
        <w:rPr>
          <w:rFonts w:ascii="Arial" w:eastAsia="Arial" w:hAnsi="Arial" w:cs="Arial"/>
          <w:sz w:val="20"/>
          <w:szCs w:val="20"/>
        </w:rPr>
      </w:pPr>
    </w:p>
    <w:p w14:paraId="36133D6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Patrimonio: </w:t>
      </w:r>
      <w:r>
        <w:rPr>
          <w:rFonts w:ascii="Arial" w:eastAsia="Arial" w:hAnsi="Arial" w:cs="Arial"/>
          <w:sz w:val="20"/>
          <w:szCs w:val="20"/>
        </w:rPr>
        <w:t xml:space="preserve">Conjunto de bienes, materiales (muebles e inmuebles) e inmateriales (instrumentales, éticos, comunicativos y organizativos) que, en continua interacción, </w:t>
      </w:r>
      <w:r>
        <w:rPr>
          <w:rFonts w:ascii="Arial" w:eastAsia="Arial" w:hAnsi="Arial" w:cs="Arial"/>
          <w:sz w:val="20"/>
          <w:szCs w:val="20"/>
        </w:rPr>
        <w:lastRenderedPageBreak/>
        <w:t>constituyen el acervo, el activo, a través del cual, o en su seno (Patrimonio natural), un pueblo participa en el devenir de la Humanidad.</w:t>
      </w:r>
    </w:p>
    <w:p w14:paraId="1B27D521" w14:textId="77777777" w:rsidR="001763FE" w:rsidRDefault="001763FE">
      <w:pPr>
        <w:spacing w:after="0" w:line="240" w:lineRule="auto"/>
        <w:ind w:left="720"/>
        <w:jc w:val="both"/>
        <w:rPr>
          <w:rFonts w:ascii="Arial" w:eastAsia="Arial" w:hAnsi="Arial" w:cs="Arial"/>
          <w:b/>
          <w:sz w:val="20"/>
          <w:szCs w:val="20"/>
        </w:rPr>
      </w:pPr>
    </w:p>
    <w:p w14:paraId="6228050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Patrimonio Cultural Inmaterial: </w:t>
      </w:r>
      <w:r>
        <w:rPr>
          <w:rFonts w:ascii="Arial" w:eastAsia="Arial" w:hAnsi="Arial" w:cs="Arial"/>
          <w:sz w:val="20"/>
          <w:szCs w:val="20"/>
        </w:rPr>
        <w:t>Está constituido por los usos, representaciones, expresiones, conocimientos y técnicas —junto con los instrumentos, objetos, artefactos y espacios culturales que les son inherentes— que las comunidades, los grupos y en algunos casos los individuos reconocen como parte integrante de su patrimonio cultural.</w:t>
      </w:r>
    </w:p>
    <w:p w14:paraId="3456375C" w14:textId="77777777" w:rsidR="001763FE" w:rsidRDefault="001763FE">
      <w:pPr>
        <w:spacing w:after="0" w:line="240" w:lineRule="auto"/>
        <w:ind w:left="720"/>
        <w:jc w:val="both"/>
        <w:rPr>
          <w:rFonts w:ascii="Arial" w:eastAsia="Arial" w:hAnsi="Arial" w:cs="Arial"/>
          <w:b/>
          <w:sz w:val="20"/>
          <w:szCs w:val="20"/>
        </w:rPr>
      </w:pPr>
    </w:p>
    <w:p w14:paraId="6A969F62"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Patrimonio cultural inmueble: </w:t>
      </w:r>
      <w:r>
        <w:rPr>
          <w:rFonts w:ascii="Arial" w:eastAsia="Arial" w:hAnsi="Arial" w:cs="Arial"/>
          <w:sz w:val="20"/>
          <w:szCs w:val="20"/>
        </w:rPr>
        <w:t>Conjunto de bienes que se caracterizan por tener un cuerpo físico que puede ser dimensionado y se encuentra fijo a la tierra, que a su vez se relaciona con su entorno; así mismo, posee valores que conforman lazos de pertenencia, identidad y memoria para una comunidad.</w:t>
      </w:r>
    </w:p>
    <w:p w14:paraId="2F6D6013" w14:textId="77777777" w:rsidR="001763FE" w:rsidRDefault="001763FE">
      <w:pPr>
        <w:spacing w:after="0" w:line="240" w:lineRule="auto"/>
        <w:ind w:left="709"/>
        <w:jc w:val="both"/>
        <w:rPr>
          <w:rFonts w:ascii="Arial" w:eastAsia="Arial" w:hAnsi="Arial" w:cs="Arial"/>
          <w:sz w:val="20"/>
          <w:szCs w:val="20"/>
        </w:rPr>
      </w:pPr>
    </w:p>
    <w:p w14:paraId="120B7AD8"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t>Se encuentra conformado por sitios históricos, patrimonio urbano, espacios públicos, patrimonio arqueológico y patrimonio arquitectónico. Estos pueden contar con declaratorias a nivel municipal, distrital, departamental o nacional.</w:t>
      </w:r>
    </w:p>
    <w:p w14:paraId="5D745DF3" w14:textId="77777777" w:rsidR="001763FE" w:rsidRDefault="001763FE">
      <w:pPr>
        <w:spacing w:after="0" w:line="240" w:lineRule="auto"/>
        <w:ind w:left="720"/>
        <w:jc w:val="both"/>
        <w:rPr>
          <w:rFonts w:ascii="Arial" w:eastAsia="Arial" w:hAnsi="Arial" w:cs="Arial"/>
          <w:b/>
          <w:sz w:val="20"/>
          <w:szCs w:val="20"/>
        </w:rPr>
      </w:pPr>
    </w:p>
    <w:p w14:paraId="544516EE" w14:textId="77777777" w:rsidR="001763FE" w:rsidRDefault="00000000">
      <w:pPr>
        <w:spacing w:after="0" w:line="240" w:lineRule="auto"/>
        <w:ind w:left="720"/>
        <w:jc w:val="both"/>
        <w:rPr>
          <w:rFonts w:ascii="Arial" w:eastAsia="Arial" w:hAnsi="Arial" w:cs="Arial"/>
          <w:sz w:val="20"/>
          <w:szCs w:val="20"/>
        </w:rPr>
      </w:pPr>
      <w:r>
        <w:rPr>
          <w:rFonts w:ascii="Arial" w:eastAsia="Arial" w:hAnsi="Arial" w:cs="Arial"/>
          <w:sz w:val="20"/>
          <w:szCs w:val="20"/>
        </w:rPr>
        <w:t>La Dirección de Patrimonio del Ministerio de Cultura clasifica el patrimonio arquitectónico de la siguiente manera para una mejor comprensión de sus características, formas y usos:</w:t>
      </w:r>
    </w:p>
    <w:p w14:paraId="798D98A0" w14:textId="77777777" w:rsidR="001763FE" w:rsidRDefault="00000000">
      <w:pPr>
        <w:spacing w:after="0" w:line="240" w:lineRule="auto"/>
        <w:ind w:left="720"/>
        <w:jc w:val="both"/>
        <w:rPr>
          <w:rFonts w:ascii="Arial" w:eastAsia="Arial" w:hAnsi="Arial" w:cs="Arial"/>
          <w:sz w:val="20"/>
          <w:szCs w:val="20"/>
        </w:rPr>
      </w:pPr>
      <w:r>
        <w:rPr>
          <w:rFonts w:ascii="Arial" w:eastAsia="Arial" w:hAnsi="Arial" w:cs="Arial"/>
          <w:sz w:val="20"/>
          <w:szCs w:val="20"/>
        </w:rPr>
        <w:t xml:space="preserve"> </w:t>
      </w:r>
    </w:p>
    <w:p w14:paraId="48252F1B" w14:textId="77777777" w:rsidR="001763FE" w:rsidRDefault="00000000">
      <w:pPr>
        <w:spacing w:after="0" w:line="240" w:lineRule="auto"/>
        <w:ind w:left="993" w:hanging="283"/>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Arquitectura militar</w:t>
      </w:r>
    </w:p>
    <w:p w14:paraId="558CF7BF" w14:textId="77777777" w:rsidR="001763FE" w:rsidRDefault="00000000">
      <w:pPr>
        <w:spacing w:after="0" w:line="240" w:lineRule="auto"/>
        <w:ind w:left="993" w:hanging="283"/>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Arquitectura habitacional</w:t>
      </w:r>
    </w:p>
    <w:p w14:paraId="1C094B88" w14:textId="77777777" w:rsidR="001763FE" w:rsidRDefault="00000000">
      <w:pPr>
        <w:spacing w:after="0" w:line="240" w:lineRule="auto"/>
        <w:ind w:left="993" w:hanging="283"/>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Arquitectura religiosa</w:t>
      </w:r>
    </w:p>
    <w:p w14:paraId="2BA35E86" w14:textId="77777777" w:rsidR="001763FE" w:rsidRDefault="00000000">
      <w:pPr>
        <w:spacing w:after="0" w:line="240" w:lineRule="auto"/>
        <w:ind w:left="993" w:hanging="283"/>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Arquitectura institucional</w:t>
      </w:r>
    </w:p>
    <w:p w14:paraId="356E0469" w14:textId="77777777" w:rsidR="001763FE" w:rsidRDefault="00000000">
      <w:pPr>
        <w:spacing w:after="0" w:line="240" w:lineRule="auto"/>
        <w:ind w:left="993" w:hanging="283"/>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Arquitectura para el comercio</w:t>
      </w:r>
    </w:p>
    <w:p w14:paraId="58ABFFCB" w14:textId="77777777" w:rsidR="001763FE" w:rsidRDefault="00000000">
      <w:pPr>
        <w:spacing w:after="0" w:line="240" w:lineRule="auto"/>
        <w:ind w:left="993" w:hanging="283"/>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Arquitectura para la industria</w:t>
      </w:r>
    </w:p>
    <w:p w14:paraId="5980EBCE" w14:textId="77777777" w:rsidR="001763FE" w:rsidRDefault="00000000">
      <w:pPr>
        <w:spacing w:after="0" w:line="240" w:lineRule="auto"/>
        <w:ind w:left="993" w:hanging="283"/>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Arquitectura para la recreación y el deporte </w:t>
      </w:r>
    </w:p>
    <w:p w14:paraId="41E32E9A" w14:textId="77777777" w:rsidR="001763FE" w:rsidRDefault="00000000">
      <w:pPr>
        <w:spacing w:after="0" w:line="240" w:lineRule="auto"/>
        <w:ind w:left="993" w:hanging="283"/>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Arquitectura para el transporte</w:t>
      </w:r>
    </w:p>
    <w:p w14:paraId="437FB1F2" w14:textId="77777777" w:rsidR="001763FE" w:rsidRDefault="00000000">
      <w:pPr>
        <w:spacing w:after="0" w:line="240" w:lineRule="auto"/>
        <w:ind w:left="993" w:hanging="283"/>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Obras de ingeniería</w:t>
      </w:r>
    </w:p>
    <w:p w14:paraId="14DA6F40" w14:textId="77777777" w:rsidR="001763FE" w:rsidRDefault="001763FE">
      <w:pPr>
        <w:spacing w:after="0" w:line="240" w:lineRule="auto"/>
        <w:ind w:left="720"/>
        <w:jc w:val="both"/>
        <w:rPr>
          <w:rFonts w:ascii="Arial" w:eastAsia="Arial" w:hAnsi="Arial" w:cs="Arial"/>
          <w:b/>
          <w:sz w:val="20"/>
          <w:szCs w:val="20"/>
        </w:rPr>
      </w:pPr>
    </w:p>
    <w:p w14:paraId="1AEAB807"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Pavimentos Asfálticos y/o Pavimentos de Concreto Hidráulico reforzado:</w:t>
      </w:r>
      <w:r>
        <w:rPr>
          <w:rFonts w:ascii="Arial" w:eastAsia="Arial" w:hAnsi="Arial" w:cs="Arial"/>
          <w:sz w:val="20"/>
          <w:szCs w:val="20"/>
        </w:rPr>
        <w:t xml:space="preserve"> Conjunto de capas superpuestas, adecuadamente compactados, que se construyen sobre la subrasante con el objeto de soportar las cargas del tránsito durante un período de varios años, brindando una superficie de rodamiento uniforme, cómoda y segura. Dichas capas superficiales se encuentran en contacto directo con el tráfico de vehículos o aeronaves y pueden estar constituidas en concreto asfáltico o en concreto hidráulico reforzado.</w:t>
      </w:r>
    </w:p>
    <w:p w14:paraId="39A2ACD9" w14:textId="77777777" w:rsidR="001763FE" w:rsidRDefault="001763FE">
      <w:pPr>
        <w:spacing w:after="0" w:line="240" w:lineRule="auto"/>
        <w:ind w:left="709"/>
        <w:jc w:val="both"/>
        <w:rPr>
          <w:rFonts w:ascii="Arial" w:eastAsia="Arial" w:hAnsi="Arial" w:cs="Arial"/>
          <w:b/>
          <w:sz w:val="20"/>
          <w:szCs w:val="20"/>
        </w:rPr>
      </w:pPr>
    </w:p>
    <w:p w14:paraId="30CDE589"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PIN: </w:t>
      </w:r>
      <w:r>
        <w:rPr>
          <w:rFonts w:ascii="Arial" w:eastAsia="Arial" w:hAnsi="Arial" w:cs="Arial"/>
          <w:sz w:val="20"/>
          <w:szCs w:val="20"/>
        </w:rPr>
        <w:t>Número único de inscripción ante la Secretaría Distrital de Ambiente para generadores, transportadores, Centros de Aprovechamiento, Sitios de Disposición final y Gestores Integrales.</w:t>
      </w:r>
    </w:p>
    <w:p w14:paraId="65EB9767" w14:textId="77777777" w:rsidR="001763FE" w:rsidRDefault="001763FE">
      <w:pPr>
        <w:spacing w:after="0" w:line="240" w:lineRule="auto"/>
        <w:ind w:left="720"/>
        <w:jc w:val="both"/>
        <w:rPr>
          <w:rFonts w:ascii="Arial" w:eastAsia="Arial" w:hAnsi="Arial" w:cs="Arial"/>
          <w:b/>
          <w:sz w:val="20"/>
          <w:szCs w:val="20"/>
        </w:rPr>
      </w:pPr>
    </w:p>
    <w:p w14:paraId="1A1C341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Piscinas:</w:t>
      </w:r>
      <w:r>
        <w:rPr>
          <w:rFonts w:ascii="Arial" w:eastAsia="Arial" w:hAnsi="Arial" w:cs="Arial"/>
          <w:sz w:val="20"/>
          <w:szCs w:val="20"/>
        </w:rPr>
        <w:t xml:space="preserve"> Escenarios deportivos exclusivos para la práctica, formación y competencia de deportes acuáticos, instalados dentro de una plataforma en superficie antideslizante, que permite la seguridad y movilidad de los competidores. Los tanques están diseñados para contener importantes cuerpos de agua en estructuras de concreto o metálicas, enchapadas en cerámica o revestidas en geomembranas de PVC.</w:t>
      </w:r>
    </w:p>
    <w:p w14:paraId="47064E5C" w14:textId="77777777" w:rsidR="001763FE" w:rsidRDefault="001763FE">
      <w:pPr>
        <w:spacing w:after="0" w:line="240" w:lineRule="auto"/>
        <w:ind w:left="720"/>
        <w:jc w:val="both"/>
        <w:rPr>
          <w:rFonts w:ascii="Arial" w:eastAsia="Arial" w:hAnsi="Arial" w:cs="Arial"/>
          <w:b/>
          <w:sz w:val="20"/>
          <w:szCs w:val="20"/>
        </w:rPr>
      </w:pPr>
    </w:p>
    <w:p w14:paraId="57F9059F"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Pistas:</w:t>
      </w:r>
      <w:r>
        <w:rPr>
          <w:rFonts w:ascii="Arial" w:eastAsia="Arial" w:hAnsi="Arial" w:cs="Arial"/>
          <w:sz w:val="20"/>
          <w:szCs w:val="20"/>
        </w:rPr>
        <w:t xml:space="preserve"> Instalaciones deportivas de carácter exclusivo para deportes de velocidad, usadas para la práctica, formación y/o competencia, que exigen grandes áreas para su desarrollo. Las pistas pueden ser al aire libre o cubiertas, conformando un circuito con características muy precisas, definidas por las federaciones que incluyen la superficie de competencia, medidas del circuito, iluminación y condiciones de seguridad.</w:t>
      </w:r>
    </w:p>
    <w:p w14:paraId="07599BAD" w14:textId="77777777" w:rsidR="001763FE" w:rsidRDefault="001763FE">
      <w:pPr>
        <w:pBdr>
          <w:top w:val="nil"/>
          <w:left w:val="nil"/>
          <w:bottom w:val="nil"/>
          <w:right w:val="nil"/>
          <w:between w:val="nil"/>
        </w:pBdr>
        <w:ind w:left="720"/>
        <w:rPr>
          <w:rFonts w:ascii="Arial" w:eastAsia="Arial" w:hAnsi="Arial" w:cs="Arial"/>
          <w:b/>
          <w:color w:val="000000"/>
          <w:sz w:val="20"/>
          <w:szCs w:val="20"/>
        </w:rPr>
      </w:pPr>
    </w:p>
    <w:p w14:paraId="13B5F97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lastRenderedPageBreak/>
        <w:t>Plan de Gestión de RCD:</w:t>
      </w:r>
      <w:r>
        <w:rPr>
          <w:rFonts w:ascii="Arial" w:eastAsia="Arial" w:hAnsi="Arial" w:cs="Arial"/>
          <w:sz w:val="20"/>
          <w:szCs w:val="20"/>
        </w:rPr>
        <w:t xml:space="preserve"> Es un documento basado en la elaboración de formatos y un documento explicativo para su correcta implementación. La información recolectada en este documento le mostrará al constructor los beneficios ambientales y económicos que obtendrá dentro de sus proyectos, al formular e implementar de manera adecuada el Plan de gestión integral, cumpliendo con las directrices de la Resolución 01115 de 2012 y resolución 0932 de 2015. </w:t>
      </w:r>
    </w:p>
    <w:p w14:paraId="472F235D" w14:textId="77777777" w:rsidR="001763FE" w:rsidRDefault="001763FE">
      <w:pPr>
        <w:spacing w:after="0" w:line="240" w:lineRule="auto"/>
        <w:ind w:left="709"/>
        <w:jc w:val="both"/>
        <w:rPr>
          <w:rFonts w:ascii="Arial" w:eastAsia="Arial" w:hAnsi="Arial" w:cs="Arial"/>
          <w:b/>
          <w:sz w:val="18"/>
          <w:szCs w:val="18"/>
        </w:rPr>
      </w:pPr>
    </w:p>
    <w:p w14:paraId="766C9347" w14:textId="77777777" w:rsidR="001763FE" w:rsidRDefault="00000000">
      <w:pPr>
        <w:numPr>
          <w:ilvl w:val="1"/>
          <w:numId w:val="1"/>
        </w:numPr>
        <w:spacing w:after="0" w:line="240" w:lineRule="auto"/>
        <w:ind w:left="709" w:hanging="709"/>
        <w:jc w:val="both"/>
        <w:rPr>
          <w:rFonts w:ascii="Arial" w:eastAsia="Arial" w:hAnsi="Arial" w:cs="Arial"/>
          <w:b/>
          <w:sz w:val="18"/>
          <w:szCs w:val="18"/>
        </w:rPr>
      </w:pPr>
      <w:r>
        <w:rPr>
          <w:rFonts w:ascii="Arial" w:eastAsia="Arial" w:hAnsi="Arial" w:cs="Arial"/>
          <w:b/>
          <w:sz w:val="20"/>
          <w:szCs w:val="20"/>
        </w:rPr>
        <w:t>Plan de contingencia:</w:t>
      </w:r>
      <w:r>
        <w:rPr>
          <w:rFonts w:ascii="Arial" w:eastAsia="Arial" w:hAnsi="Arial" w:cs="Arial"/>
          <w:sz w:val="20"/>
          <w:szCs w:val="20"/>
        </w:rPr>
        <w:t xml:space="preserve"> Instrumento donde se describen las medidas de tipo preventivo que aminoren o eviten la ocurrencia de accidentes, tanto del personal vinculado directamente a las labores, como a los habitantes del área de influencia que sean vulnerables ante cualquier tipo de amenaza que provenga del proyecto. </w:t>
      </w:r>
    </w:p>
    <w:p w14:paraId="3E5B0B98" w14:textId="77777777" w:rsidR="001763FE" w:rsidRDefault="001763FE">
      <w:pPr>
        <w:spacing w:after="0" w:line="240" w:lineRule="auto"/>
        <w:ind w:left="720"/>
        <w:jc w:val="both"/>
        <w:rPr>
          <w:rFonts w:ascii="Arial" w:eastAsia="Arial" w:hAnsi="Arial" w:cs="Arial"/>
          <w:b/>
          <w:sz w:val="18"/>
          <w:szCs w:val="18"/>
        </w:rPr>
      </w:pPr>
    </w:p>
    <w:p w14:paraId="45D8A959"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Plaza:</w:t>
      </w:r>
      <w:r>
        <w:rPr>
          <w:rFonts w:ascii="Arial" w:eastAsia="Arial" w:hAnsi="Arial" w:cs="Arial"/>
          <w:sz w:val="20"/>
          <w:szCs w:val="20"/>
        </w:rPr>
        <w:t xml:space="preserve"> Espacio libre, tratado como zona dura, que se destina al uso cotidiano al servir de soporte a eventos cívicos. Es lugar de encuentro y relaciones entre los ciudadanos, en este, predominan los elementos arquitectónicos sobre los paisajísticos naturales y el peatón tiene una condición prioritaria que ocupan una manzana completa. </w:t>
      </w:r>
    </w:p>
    <w:p w14:paraId="23E5A116" w14:textId="77777777" w:rsidR="001763FE" w:rsidRDefault="001763FE">
      <w:pPr>
        <w:spacing w:after="0" w:line="240" w:lineRule="auto"/>
        <w:ind w:left="720"/>
        <w:jc w:val="both"/>
        <w:rPr>
          <w:rFonts w:ascii="Arial" w:eastAsia="Arial" w:hAnsi="Arial" w:cs="Arial"/>
          <w:sz w:val="20"/>
          <w:szCs w:val="20"/>
        </w:rPr>
      </w:pPr>
    </w:p>
    <w:p w14:paraId="3B619618"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Plazoletas:</w:t>
      </w:r>
      <w:r>
        <w:rPr>
          <w:rFonts w:ascii="Arial" w:eastAsia="Arial" w:hAnsi="Arial" w:cs="Arial"/>
          <w:sz w:val="20"/>
          <w:szCs w:val="20"/>
        </w:rPr>
        <w:t xml:space="preserve"> Áreas de espacio público abiertas, tratadas como zonas duras y destinadas al disfrute de los ciudadanos y las actividades de convivencia, ocupan media manzana. </w:t>
      </w:r>
    </w:p>
    <w:p w14:paraId="29C7ED0A" w14:textId="77777777" w:rsidR="001763FE" w:rsidRDefault="001763FE">
      <w:pPr>
        <w:spacing w:after="0" w:line="240" w:lineRule="auto"/>
        <w:ind w:left="720"/>
        <w:jc w:val="both"/>
        <w:rPr>
          <w:rFonts w:ascii="Arial" w:eastAsia="Arial" w:hAnsi="Arial" w:cs="Arial"/>
          <w:sz w:val="20"/>
          <w:szCs w:val="20"/>
        </w:rPr>
      </w:pPr>
    </w:p>
    <w:p w14:paraId="75DD55B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Plazuelas:</w:t>
      </w:r>
      <w:r>
        <w:rPr>
          <w:rFonts w:ascii="Arial" w:eastAsia="Arial" w:hAnsi="Arial" w:cs="Arial"/>
          <w:sz w:val="20"/>
          <w:szCs w:val="20"/>
        </w:rPr>
        <w:t xml:space="preserve"> Áreas de espacio público abiertas, tratadas como zonas duras y destinadas al disfrute de los ciudadanos y las actividades de convivencia que ocupan un cuarto de manzana.</w:t>
      </w:r>
    </w:p>
    <w:p w14:paraId="472D8F4A" w14:textId="77777777" w:rsidR="001763FE" w:rsidRDefault="001763FE">
      <w:pPr>
        <w:spacing w:after="0" w:line="240" w:lineRule="auto"/>
        <w:ind w:left="720"/>
        <w:jc w:val="both"/>
        <w:rPr>
          <w:rFonts w:ascii="Arial" w:eastAsia="Arial" w:hAnsi="Arial" w:cs="Arial"/>
          <w:sz w:val="20"/>
          <w:szCs w:val="20"/>
        </w:rPr>
      </w:pPr>
    </w:p>
    <w:p w14:paraId="39DEECDD"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Polideportivo:</w:t>
      </w:r>
      <w:r>
        <w:rPr>
          <w:rFonts w:ascii="Arial" w:eastAsia="Arial" w:hAnsi="Arial" w:cs="Arial"/>
          <w:sz w:val="20"/>
          <w:szCs w:val="20"/>
        </w:rPr>
        <w:t xml:space="preserve"> Lugar o espacio que cuenta con varias instalaciones deportivas que permite realizar una gran variedad de deportes y ejercicios. </w:t>
      </w:r>
    </w:p>
    <w:p w14:paraId="3831B21A" w14:textId="77777777" w:rsidR="001763FE" w:rsidRDefault="001763FE">
      <w:pPr>
        <w:spacing w:after="0" w:line="240" w:lineRule="auto"/>
        <w:ind w:left="720"/>
        <w:jc w:val="both"/>
        <w:rPr>
          <w:rFonts w:ascii="Arial" w:eastAsia="Arial" w:hAnsi="Arial" w:cs="Arial"/>
          <w:b/>
          <w:sz w:val="20"/>
          <w:szCs w:val="20"/>
        </w:rPr>
      </w:pPr>
    </w:p>
    <w:p w14:paraId="658A64C9"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Puente Peatonal</w:t>
      </w:r>
      <w:r>
        <w:rPr>
          <w:rFonts w:ascii="Arial" w:eastAsia="Arial" w:hAnsi="Arial" w:cs="Arial"/>
          <w:sz w:val="20"/>
          <w:szCs w:val="20"/>
        </w:rPr>
        <w:t>. Construcción que permite salvar obstáculos naturales u otros obstáculos físicos, haciendo que una vía peatonal pase sobre o encima de ellos, por la cual solo pueden circular individuos que avanzan sin vehículos.</w:t>
      </w:r>
    </w:p>
    <w:p w14:paraId="09496EF4" w14:textId="77777777" w:rsidR="001763FE" w:rsidRDefault="001763FE">
      <w:pPr>
        <w:spacing w:after="0" w:line="240" w:lineRule="auto"/>
        <w:jc w:val="both"/>
        <w:rPr>
          <w:rFonts w:ascii="Arial" w:eastAsia="Arial" w:hAnsi="Arial" w:cs="Arial"/>
          <w:sz w:val="20"/>
          <w:szCs w:val="20"/>
        </w:rPr>
      </w:pPr>
    </w:p>
    <w:p w14:paraId="61324AC0"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Puente Vehicular;</w:t>
      </w:r>
      <w:r>
        <w:rPr>
          <w:rFonts w:ascii="Arial" w:eastAsia="Arial" w:hAnsi="Arial" w:cs="Arial"/>
          <w:sz w:val="20"/>
          <w:szCs w:val="20"/>
        </w:rPr>
        <w:t xml:space="preserve"> Construcción que permite salvar obstáculos naturales u otros obstáculos físicos, haciendo que una vía vehicular pase sobre o encima de ellos.</w:t>
      </w:r>
    </w:p>
    <w:p w14:paraId="616A85DC" w14:textId="77777777" w:rsidR="001763FE" w:rsidRDefault="001763FE">
      <w:pPr>
        <w:spacing w:after="0" w:line="240" w:lineRule="auto"/>
        <w:ind w:left="709"/>
        <w:jc w:val="both"/>
        <w:rPr>
          <w:rFonts w:ascii="Arial" w:eastAsia="Arial" w:hAnsi="Arial" w:cs="Arial"/>
          <w:b/>
          <w:sz w:val="20"/>
          <w:szCs w:val="20"/>
        </w:rPr>
      </w:pPr>
    </w:p>
    <w:p w14:paraId="4E9E2828"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RAS: </w:t>
      </w:r>
      <w:r>
        <w:rPr>
          <w:rFonts w:ascii="Arial" w:eastAsia="Arial" w:hAnsi="Arial" w:cs="Arial"/>
          <w:sz w:val="20"/>
          <w:szCs w:val="20"/>
        </w:rPr>
        <w:t xml:space="preserve">Reglamento Técnico para el Sector de Agua Potable y Saneamiento Básico. </w:t>
      </w:r>
    </w:p>
    <w:p w14:paraId="24775B34" w14:textId="77777777" w:rsidR="001763FE" w:rsidRDefault="001763FE">
      <w:pPr>
        <w:spacing w:after="0" w:line="240" w:lineRule="auto"/>
        <w:jc w:val="both"/>
        <w:rPr>
          <w:rFonts w:ascii="Arial" w:eastAsia="Arial" w:hAnsi="Arial" w:cs="Arial"/>
          <w:b/>
          <w:sz w:val="20"/>
          <w:szCs w:val="20"/>
        </w:rPr>
      </w:pPr>
    </w:p>
    <w:p w14:paraId="11F2971C" w14:textId="77777777" w:rsidR="001763FE" w:rsidRDefault="00000000">
      <w:pPr>
        <w:numPr>
          <w:ilvl w:val="1"/>
          <w:numId w:val="1"/>
        </w:numPr>
        <w:spacing w:after="0" w:line="240" w:lineRule="auto"/>
        <w:ind w:left="709" w:hanging="709"/>
        <w:jc w:val="both"/>
        <w:rPr>
          <w:rFonts w:ascii="Arial" w:eastAsia="Arial" w:hAnsi="Arial" w:cs="Arial"/>
          <w:b/>
          <w:sz w:val="18"/>
          <w:szCs w:val="18"/>
        </w:rPr>
      </w:pPr>
      <w:r>
        <w:rPr>
          <w:rFonts w:ascii="Arial" w:eastAsia="Arial" w:hAnsi="Arial" w:cs="Arial"/>
          <w:b/>
          <w:sz w:val="20"/>
          <w:szCs w:val="20"/>
        </w:rPr>
        <w:t>Receptor de residuos peligrosos</w:t>
      </w:r>
      <w:r>
        <w:rPr>
          <w:rFonts w:ascii="Arial" w:eastAsia="Arial" w:hAnsi="Arial" w:cs="Arial"/>
          <w:sz w:val="20"/>
          <w:szCs w:val="20"/>
        </w:rPr>
        <w:t>: El titular autorizado para realizar las actividades de almacenamiento, aprovechamiento y/o valorización (incluida la recuperación, el reciclado o la regeneración), el tratamiento y/o la disposición final de residuos o desechos peligrosos.</w:t>
      </w:r>
    </w:p>
    <w:p w14:paraId="229BD003" w14:textId="77777777" w:rsidR="001763FE" w:rsidRDefault="001763FE">
      <w:pPr>
        <w:spacing w:after="0" w:line="240" w:lineRule="auto"/>
        <w:ind w:left="720"/>
        <w:jc w:val="both"/>
        <w:rPr>
          <w:rFonts w:ascii="Arial" w:eastAsia="Arial" w:hAnsi="Arial" w:cs="Arial"/>
          <w:b/>
          <w:sz w:val="20"/>
          <w:szCs w:val="20"/>
        </w:rPr>
      </w:pPr>
    </w:p>
    <w:p w14:paraId="4E87B777"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Reciclaje: </w:t>
      </w:r>
      <w:r>
        <w:rPr>
          <w:rFonts w:ascii="Arial" w:eastAsia="Arial" w:hAnsi="Arial" w:cs="Arial"/>
          <w:sz w:val="20"/>
          <w:szCs w:val="20"/>
        </w:rPr>
        <w:t>Proceso mediante el cual se procesan y transforman los residuos de construcción y demolición, para valorizar su potencial de reincorporación como materia prima o insumos para la obtención de nuevos productos.</w:t>
      </w:r>
    </w:p>
    <w:p w14:paraId="479628CC" w14:textId="77777777" w:rsidR="001763FE" w:rsidRDefault="001763FE">
      <w:pPr>
        <w:spacing w:after="0" w:line="240" w:lineRule="auto"/>
        <w:ind w:left="709"/>
        <w:jc w:val="both"/>
        <w:rPr>
          <w:rFonts w:ascii="Arial" w:eastAsia="Arial" w:hAnsi="Arial" w:cs="Arial"/>
          <w:b/>
          <w:sz w:val="20"/>
          <w:szCs w:val="20"/>
        </w:rPr>
      </w:pPr>
    </w:p>
    <w:p w14:paraId="66A7E868"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Recolección: </w:t>
      </w:r>
      <w:r>
        <w:rPr>
          <w:rFonts w:ascii="Arial" w:eastAsia="Arial" w:hAnsi="Arial" w:cs="Arial"/>
          <w:sz w:val="20"/>
          <w:szCs w:val="20"/>
        </w:rPr>
        <w:t>Es la acción y efecto de recoger y retirar los residuos sólidos de uno o varios generadores efectuada por el concesionario del servicio.</w:t>
      </w:r>
    </w:p>
    <w:p w14:paraId="528BD6DD" w14:textId="77777777" w:rsidR="001763FE" w:rsidRDefault="001763FE">
      <w:pPr>
        <w:spacing w:after="0" w:line="240" w:lineRule="auto"/>
        <w:ind w:left="709"/>
        <w:jc w:val="both"/>
        <w:rPr>
          <w:rFonts w:ascii="Arial" w:eastAsia="Arial" w:hAnsi="Arial" w:cs="Arial"/>
          <w:b/>
          <w:sz w:val="20"/>
          <w:szCs w:val="20"/>
        </w:rPr>
      </w:pPr>
    </w:p>
    <w:p w14:paraId="59BECA8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Reconstrucción:</w:t>
      </w:r>
      <w:r>
        <w:rPr>
          <w:rFonts w:ascii="Arial" w:eastAsia="Arial" w:hAnsi="Arial" w:cs="Arial"/>
          <w:sz w:val="20"/>
          <w:szCs w:val="20"/>
        </w:rPr>
        <w:t xml:space="preserve"> Obras o intervenciones para volver a construir edificaciones que contaban con licencia o con acto de reconocimiento y fueron afectadas por la ocurrencia de algún siniestro. </w:t>
      </w:r>
    </w:p>
    <w:p w14:paraId="076B9820" w14:textId="77777777" w:rsidR="001763FE" w:rsidRDefault="001763FE">
      <w:pPr>
        <w:spacing w:after="0" w:line="240" w:lineRule="auto"/>
        <w:ind w:left="720"/>
        <w:jc w:val="both"/>
        <w:rPr>
          <w:rFonts w:ascii="Arial" w:eastAsia="Arial" w:hAnsi="Arial" w:cs="Arial"/>
          <w:b/>
          <w:sz w:val="20"/>
          <w:szCs w:val="20"/>
        </w:rPr>
      </w:pPr>
    </w:p>
    <w:p w14:paraId="45B7AE42"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Residuos de Construcción y Demolición – RCD: </w:t>
      </w:r>
      <w:r>
        <w:rPr>
          <w:rFonts w:ascii="Arial" w:eastAsia="Arial" w:hAnsi="Arial" w:cs="Arial"/>
          <w:sz w:val="20"/>
          <w:szCs w:val="20"/>
        </w:rPr>
        <w:t>Se refiere a los residuos de construcción y demolición que se generan durante el desarrollo de un proyecto constructivo, entre los cuales se pueden encontrar los siguientes tipos:</w:t>
      </w:r>
    </w:p>
    <w:p w14:paraId="32A50161" w14:textId="77777777" w:rsidR="001763FE" w:rsidRDefault="001763FE">
      <w:pPr>
        <w:spacing w:after="0" w:line="240" w:lineRule="auto"/>
        <w:ind w:left="709"/>
        <w:jc w:val="both"/>
        <w:rPr>
          <w:rFonts w:ascii="Arial" w:eastAsia="Arial" w:hAnsi="Arial" w:cs="Arial"/>
          <w:b/>
          <w:sz w:val="20"/>
          <w:szCs w:val="20"/>
        </w:rPr>
      </w:pPr>
    </w:p>
    <w:p w14:paraId="7F32B330"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b/>
          <w:sz w:val="20"/>
          <w:szCs w:val="20"/>
        </w:rPr>
        <w:lastRenderedPageBreak/>
        <w:t>Residuos de Construcción y Demolición – RCD – Susceptibles de Aprovechamiento: -</w:t>
      </w:r>
      <w:r>
        <w:rPr>
          <w:rFonts w:ascii="Arial" w:eastAsia="Arial" w:hAnsi="Arial" w:cs="Arial"/>
          <w:sz w:val="20"/>
          <w:szCs w:val="20"/>
        </w:rPr>
        <w:t>Productos de excavación, nivelaciones y sobrantes de la adecuación del terreno: tierras y materiales pétreos no contaminados productos de la excavación, entre otros. -Productos usados para cimentaciones y pilotajes: Arcillas, bentonitas y demás. -Pétreos: hormigón, arenas, gravas, gravillas, trozos de ladrillos y bloques, cerámicas, sobrantes de mezcla de cementos y concretos, entre otros. -No pétreos: vidrios, aceros, hierros, madera, plásticos, metales, cartones, yesos, dry Wall, entre otros.</w:t>
      </w:r>
    </w:p>
    <w:p w14:paraId="5711272E" w14:textId="77777777" w:rsidR="001763FE" w:rsidRDefault="001763FE">
      <w:pPr>
        <w:spacing w:after="0" w:line="240" w:lineRule="auto"/>
        <w:ind w:left="709"/>
        <w:jc w:val="both"/>
        <w:rPr>
          <w:rFonts w:ascii="Arial" w:eastAsia="Arial" w:hAnsi="Arial" w:cs="Arial"/>
          <w:sz w:val="20"/>
          <w:szCs w:val="20"/>
        </w:rPr>
      </w:pPr>
    </w:p>
    <w:p w14:paraId="4818FB62"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b/>
          <w:sz w:val="20"/>
          <w:szCs w:val="20"/>
        </w:rPr>
        <w:t>Residuos de Construcción y Demolición – RCD – No Susceptibles De Aprovechamiento:</w:t>
      </w:r>
      <w:r>
        <w:rPr>
          <w:rFonts w:ascii="Arial" w:eastAsia="Arial" w:hAnsi="Arial" w:cs="Arial"/>
          <w:sz w:val="20"/>
          <w:szCs w:val="20"/>
        </w:rPr>
        <w:t xml:space="preserve"> -Materiales aprovechables contaminados con residuos peligrosos. -Materiales que por su estado no pueden ser aprovechados. -Residuos peligrosos: este tipo de residuo debe ser identificado y manejado de acuerdo a los protocolos establecidos para cada caso. -Otros residuos con normas específicas: Amianto, asbesto cemento (tejas de Eternit) electrónicos, biosanitarios, etc. y demás que aparezcan en terreno. Incluir las definiciones de acuerdo a las normativas vigentes.</w:t>
      </w:r>
    </w:p>
    <w:p w14:paraId="0170B91E" w14:textId="77777777" w:rsidR="001763FE" w:rsidRDefault="001763FE">
      <w:pPr>
        <w:spacing w:after="0" w:line="240" w:lineRule="auto"/>
        <w:ind w:left="709"/>
        <w:jc w:val="both"/>
        <w:rPr>
          <w:rFonts w:ascii="Arial" w:eastAsia="Arial" w:hAnsi="Arial" w:cs="Arial"/>
          <w:sz w:val="20"/>
          <w:szCs w:val="20"/>
        </w:rPr>
      </w:pPr>
    </w:p>
    <w:p w14:paraId="5C7A778F"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b/>
          <w:sz w:val="20"/>
          <w:szCs w:val="20"/>
        </w:rPr>
        <w:t>Residuos Ordinarios</w:t>
      </w:r>
      <w:r>
        <w:rPr>
          <w:rFonts w:ascii="Arial" w:eastAsia="Arial" w:hAnsi="Arial" w:cs="Arial"/>
          <w:sz w:val="20"/>
          <w:szCs w:val="20"/>
        </w:rPr>
        <w:t>: Son la parte de los residuos urbanos generada en los edificios, con excepción de: -Animales domésticos muertos, muebles y enseres.</w:t>
      </w:r>
    </w:p>
    <w:p w14:paraId="6149839D" w14:textId="77777777" w:rsidR="001763FE" w:rsidRDefault="001763FE">
      <w:pPr>
        <w:spacing w:after="0" w:line="240" w:lineRule="auto"/>
        <w:ind w:left="709"/>
        <w:jc w:val="both"/>
        <w:rPr>
          <w:rFonts w:ascii="Arial" w:eastAsia="Arial" w:hAnsi="Arial" w:cs="Arial"/>
          <w:b/>
          <w:sz w:val="20"/>
          <w:szCs w:val="20"/>
        </w:rPr>
      </w:pPr>
    </w:p>
    <w:p w14:paraId="5C4AFB18"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Residuo o Desecho Peligroso: </w:t>
      </w:r>
      <w:r>
        <w:rPr>
          <w:rFonts w:ascii="Arial" w:eastAsia="Arial" w:hAnsi="Arial" w:cs="Arial"/>
          <w:sz w:val="20"/>
          <w:szCs w:val="20"/>
        </w:rPr>
        <w:t>Es aquel residuo o desecho que por sus características corrosivas, reactivas, explosivas, tóxicas, inflamables, infecciosas o radiactivas puede causar riesgo o daño para la salud humana y el ambiente. Así mismo, se considera residuo o desecho peligroso los envases, empaques y embalajes que hayan estado en contacto con ellos.</w:t>
      </w:r>
    </w:p>
    <w:p w14:paraId="438FB87C" w14:textId="77777777" w:rsidR="001763FE" w:rsidRDefault="001763FE">
      <w:pPr>
        <w:spacing w:after="0" w:line="240" w:lineRule="auto"/>
        <w:jc w:val="both"/>
        <w:rPr>
          <w:rFonts w:ascii="Arial" w:eastAsia="Arial" w:hAnsi="Arial" w:cs="Arial"/>
          <w:b/>
          <w:sz w:val="20"/>
          <w:szCs w:val="20"/>
        </w:rPr>
      </w:pPr>
    </w:p>
    <w:p w14:paraId="7BA5550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Resistencia: </w:t>
      </w:r>
      <w:r>
        <w:rPr>
          <w:rFonts w:ascii="Arial" w:eastAsia="Arial" w:hAnsi="Arial" w:cs="Arial"/>
          <w:sz w:val="20"/>
          <w:szCs w:val="20"/>
        </w:rPr>
        <w:t>Capacidad útil de una estructura, o de sus miembros, para resistir cargas, dentro de los límites de deformación establecidos en la NSR-10.</w:t>
      </w:r>
    </w:p>
    <w:p w14:paraId="10BC8BB3" w14:textId="77777777" w:rsidR="001763FE" w:rsidRDefault="001763FE">
      <w:pPr>
        <w:spacing w:after="0" w:line="240" w:lineRule="auto"/>
        <w:ind w:left="720"/>
        <w:jc w:val="both"/>
        <w:rPr>
          <w:rFonts w:ascii="Arial" w:eastAsia="Arial" w:hAnsi="Arial" w:cs="Arial"/>
          <w:b/>
          <w:sz w:val="20"/>
          <w:szCs w:val="20"/>
        </w:rPr>
      </w:pPr>
    </w:p>
    <w:p w14:paraId="2C47F984"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Restauración:</w:t>
      </w:r>
      <w:r>
        <w:rPr>
          <w:rFonts w:ascii="Arial" w:eastAsia="Arial" w:hAnsi="Arial" w:cs="Arial"/>
          <w:sz w:val="20"/>
          <w:szCs w:val="20"/>
        </w:rPr>
        <w:t xml:space="preserve"> Obras o intervenciones tendientes a recuperar y adaptar un inmueble o parte de este, con el fin de conservar y revelar sus valores estéticos, históricos y simbólicos. Se fundamenta en el respeto por su integridad y autenticidad.</w:t>
      </w:r>
    </w:p>
    <w:p w14:paraId="603C0C3A" w14:textId="77777777" w:rsidR="001763FE" w:rsidRDefault="001763FE">
      <w:pPr>
        <w:spacing w:after="0" w:line="240" w:lineRule="auto"/>
        <w:ind w:left="720"/>
        <w:jc w:val="both"/>
        <w:rPr>
          <w:rFonts w:ascii="Arial" w:eastAsia="Arial" w:hAnsi="Arial" w:cs="Arial"/>
          <w:b/>
          <w:sz w:val="20"/>
          <w:szCs w:val="20"/>
        </w:rPr>
      </w:pPr>
    </w:p>
    <w:p w14:paraId="7AADEDA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RETIE:</w:t>
      </w:r>
      <w:r>
        <w:rPr>
          <w:rFonts w:ascii="Arial" w:eastAsia="Arial" w:hAnsi="Arial" w:cs="Arial"/>
          <w:sz w:val="20"/>
          <w:szCs w:val="20"/>
        </w:rPr>
        <w:t xml:space="preserve"> Reglamento Técnico de Instalaciones Eléctricas. </w:t>
      </w:r>
    </w:p>
    <w:p w14:paraId="7D82FEAC" w14:textId="77777777" w:rsidR="001763FE" w:rsidRDefault="001763FE">
      <w:pPr>
        <w:spacing w:after="0" w:line="240" w:lineRule="auto"/>
        <w:ind w:left="720"/>
        <w:jc w:val="both"/>
        <w:rPr>
          <w:rFonts w:ascii="Arial" w:eastAsia="Arial" w:hAnsi="Arial" w:cs="Arial"/>
          <w:b/>
          <w:sz w:val="20"/>
          <w:szCs w:val="20"/>
        </w:rPr>
      </w:pPr>
    </w:p>
    <w:p w14:paraId="257118F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RETILAP:</w:t>
      </w:r>
      <w:r>
        <w:rPr>
          <w:rFonts w:ascii="Arial" w:eastAsia="Arial" w:hAnsi="Arial" w:cs="Arial"/>
          <w:sz w:val="20"/>
          <w:szCs w:val="20"/>
        </w:rPr>
        <w:t xml:space="preserve"> Reglamento Técnico de Iluminación y Alumbrado Público. </w:t>
      </w:r>
    </w:p>
    <w:p w14:paraId="7ED7F879" w14:textId="77777777" w:rsidR="001763FE" w:rsidRDefault="001763FE">
      <w:pPr>
        <w:spacing w:after="0" w:line="240" w:lineRule="auto"/>
        <w:ind w:left="720"/>
        <w:jc w:val="both"/>
        <w:rPr>
          <w:rFonts w:ascii="Arial" w:eastAsia="Arial" w:hAnsi="Arial" w:cs="Arial"/>
          <w:b/>
          <w:sz w:val="20"/>
          <w:szCs w:val="20"/>
        </w:rPr>
      </w:pPr>
    </w:p>
    <w:p w14:paraId="3E642900"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RETIQ:</w:t>
      </w:r>
      <w:r>
        <w:rPr>
          <w:rFonts w:ascii="Arial" w:eastAsia="Arial" w:hAnsi="Arial" w:cs="Arial"/>
          <w:sz w:val="20"/>
          <w:szCs w:val="20"/>
        </w:rPr>
        <w:t xml:space="preserve"> Reglamento Técnico de Etiquetado. </w:t>
      </w:r>
    </w:p>
    <w:p w14:paraId="2385C62F" w14:textId="77777777" w:rsidR="001763FE" w:rsidRDefault="001763FE">
      <w:pPr>
        <w:spacing w:after="0" w:line="240" w:lineRule="auto"/>
        <w:ind w:left="709"/>
        <w:jc w:val="both"/>
        <w:rPr>
          <w:rFonts w:ascii="Arial" w:eastAsia="Arial" w:hAnsi="Arial" w:cs="Arial"/>
          <w:b/>
          <w:sz w:val="20"/>
          <w:szCs w:val="20"/>
        </w:rPr>
      </w:pPr>
    </w:p>
    <w:p w14:paraId="5E10C31A"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Reforzamiento Estructural:</w:t>
      </w:r>
      <w:r>
        <w:rPr>
          <w:rFonts w:ascii="Arial" w:eastAsia="Arial" w:hAnsi="Arial" w:cs="Arial"/>
          <w:sz w:val="20"/>
          <w:szCs w:val="20"/>
        </w:rPr>
        <w:t xml:space="preserve"> Adición de fuerza o capacidad de carga a un de elemento estructural que hace parte de un todo ya sea definido como superestructura, subestructura o fundación. Los ejemplos incluyen la instalación de barras de refuerzo de metal debidamente ancladas al elemento existente en la forma establecida en los estudios y diseños antes de verter el hormigón; o instalar las placas de refuerzo metálicos en la intersección de varios elementos; o realizar el reforzamiento mediante la implementación de sistemas compuestos como el refuerzo con fibra de carbono; o la utilización de aceros estructurales; o la implementación de reforzamiento mediante tensionamiento exterior de los elementos  requeridos.  </w:t>
      </w:r>
    </w:p>
    <w:p w14:paraId="4419A7F8" w14:textId="77777777" w:rsidR="001763FE" w:rsidRDefault="001763FE">
      <w:pPr>
        <w:spacing w:after="0" w:line="240" w:lineRule="auto"/>
        <w:ind w:left="720"/>
        <w:jc w:val="both"/>
        <w:rPr>
          <w:rFonts w:ascii="Arial" w:eastAsia="Arial" w:hAnsi="Arial" w:cs="Arial"/>
          <w:sz w:val="20"/>
          <w:szCs w:val="20"/>
        </w:rPr>
      </w:pPr>
    </w:p>
    <w:p w14:paraId="274DA1AC"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t xml:space="preserve">Es de resaltar que puede llevarse a cabo la combinación de varias de las actividades mencionadas según lo establezcan los estudios y diseños para el reforzamiento estructural.  En ningún caso se tiene en cuenta el componente sísmico, ni un análisis geotécnico de las fundaciones, ni estudios hidráulicos de la estructura; puesto que la actividad consiste en reforzar los elementos que se encuentran en mal estado y permitir aumentar la vida útil de la misma. </w:t>
      </w:r>
    </w:p>
    <w:p w14:paraId="68400F62" w14:textId="77777777" w:rsidR="001763FE" w:rsidRDefault="001763FE">
      <w:pPr>
        <w:spacing w:after="0" w:line="240" w:lineRule="auto"/>
        <w:ind w:left="709"/>
        <w:jc w:val="both"/>
        <w:rPr>
          <w:rFonts w:ascii="Arial" w:eastAsia="Arial" w:hAnsi="Arial" w:cs="Arial"/>
          <w:sz w:val="20"/>
          <w:szCs w:val="20"/>
        </w:rPr>
      </w:pPr>
    </w:p>
    <w:p w14:paraId="7C9B22E0"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lastRenderedPageBreak/>
        <w:t xml:space="preserve">Las actividades de reforzamiento se realizan para recuperar la capacidad por la acción de agentes externos a la estructura como ataques terroristas; accidentes y/o colisiones; fuerza mayor o caso fortuito donde se presente una mayor acción de las cargas por vientos, mayor fuerza de la corriente, material de arrastre y condiciones de sedimentos; y el empuje de tierras no contempladas en los diseños iniciales.  Además de ataques por agentes químicos y/o la falta de mantenimiento de los elementos estructurales los cuales afectan la durabilidad y la estabilidad de la estructura. Esta actividad no implica actualizar la capacidad de carga de la estructura. </w:t>
      </w:r>
    </w:p>
    <w:p w14:paraId="6695EA60" w14:textId="77777777" w:rsidR="001763FE" w:rsidRDefault="001763FE">
      <w:pPr>
        <w:spacing w:after="0" w:line="240" w:lineRule="auto"/>
        <w:ind w:left="708"/>
        <w:jc w:val="both"/>
        <w:rPr>
          <w:rFonts w:ascii="Arial" w:eastAsia="Arial" w:hAnsi="Arial" w:cs="Arial"/>
          <w:sz w:val="20"/>
          <w:szCs w:val="20"/>
        </w:rPr>
      </w:pPr>
    </w:p>
    <w:p w14:paraId="204D6095" w14:textId="77777777" w:rsidR="001763FE" w:rsidRDefault="00000000">
      <w:pPr>
        <w:spacing w:after="0" w:line="240" w:lineRule="auto"/>
        <w:ind w:left="708"/>
        <w:jc w:val="both"/>
        <w:rPr>
          <w:rFonts w:ascii="Arial" w:eastAsia="Arial" w:hAnsi="Arial" w:cs="Arial"/>
          <w:sz w:val="20"/>
          <w:szCs w:val="20"/>
        </w:rPr>
      </w:pPr>
      <w:r>
        <w:rPr>
          <w:rFonts w:ascii="Arial" w:eastAsia="Arial" w:hAnsi="Arial" w:cs="Arial"/>
          <w:sz w:val="20"/>
          <w:szCs w:val="20"/>
        </w:rPr>
        <w:t>Estas actividades requieren del mantenimiento previo de los elementos estructurales.</w:t>
      </w:r>
    </w:p>
    <w:p w14:paraId="537F09B2" w14:textId="77777777" w:rsidR="001763FE" w:rsidRDefault="001763FE">
      <w:pPr>
        <w:spacing w:after="0" w:line="240" w:lineRule="auto"/>
        <w:jc w:val="both"/>
        <w:rPr>
          <w:rFonts w:ascii="Arial" w:eastAsia="Arial" w:hAnsi="Arial" w:cs="Arial"/>
          <w:sz w:val="20"/>
          <w:szCs w:val="20"/>
        </w:rPr>
      </w:pPr>
    </w:p>
    <w:p w14:paraId="4BA3DC23"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Reparaciones Locativas: </w:t>
      </w:r>
      <w:r>
        <w:rPr>
          <w:rFonts w:ascii="Arial" w:eastAsia="Arial" w:hAnsi="Arial" w:cs="Arial"/>
          <w:sz w:val="20"/>
          <w:szCs w:val="20"/>
        </w:rPr>
        <w:t>Obras que tienen como finalidad mantener el inmueble en las debidas condiciones de higiene y ornato sin afectar su estructura portante, su distribución interior, sus características funcionales, formales y/o volumétricas. No requerirán Licencia de Construcción las reparaciones o mejoras locativas a que hace referencia el artículo 8 de la Ley 810 de 2003 o la norma que lo adicione, modifique o sustituya</w:t>
      </w:r>
      <w:r>
        <w:rPr>
          <w:rFonts w:ascii="Arial" w:eastAsia="Arial" w:hAnsi="Arial" w:cs="Arial"/>
          <w:sz w:val="20"/>
          <w:szCs w:val="20"/>
          <w:vertAlign w:val="superscript"/>
        </w:rPr>
        <w:footnoteReference w:id="5"/>
      </w:r>
      <w:r>
        <w:rPr>
          <w:rFonts w:ascii="Arial" w:eastAsia="Arial" w:hAnsi="Arial" w:cs="Arial"/>
          <w:sz w:val="20"/>
          <w:szCs w:val="20"/>
        </w:rPr>
        <w:t xml:space="preserve">. </w:t>
      </w:r>
    </w:p>
    <w:p w14:paraId="684108D3" w14:textId="77777777" w:rsidR="001763FE" w:rsidRDefault="001763FE">
      <w:pPr>
        <w:spacing w:after="0" w:line="240" w:lineRule="auto"/>
        <w:ind w:left="709"/>
        <w:jc w:val="both"/>
        <w:rPr>
          <w:rFonts w:ascii="Arial" w:eastAsia="Arial" w:hAnsi="Arial" w:cs="Arial"/>
          <w:sz w:val="20"/>
          <w:szCs w:val="20"/>
        </w:rPr>
      </w:pPr>
    </w:p>
    <w:p w14:paraId="21FC65E3"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t xml:space="preserve">Están incluidas dentro de las reparaciones locativas, entre otras, las siguientes obras: el mantenimiento, la sustitución, restitución o mejoramiento de los materiales de pisos, cielorrasos, enchapes, pintura en general, y la sustitución, mejoramiento o ampliación de redes de instalaciones hidráulicas, sanitarias, eléctricas, telefónicas o de gas. Sin perjuicio de lo anterior, quien ejecuta la obra se hace responsable de: </w:t>
      </w:r>
    </w:p>
    <w:p w14:paraId="6ADD8A22" w14:textId="77777777" w:rsidR="001763FE" w:rsidRDefault="001763FE">
      <w:pPr>
        <w:spacing w:after="0" w:line="240" w:lineRule="auto"/>
        <w:ind w:left="709"/>
        <w:jc w:val="both"/>
        <w:rPr>
          <w:rFonts w:ascii="Arial" w:eastAsia="Arial" w:hAnsi="Arial" w:cs="Arial"/>
          <w:sz w:val="20"/>
          <w:szCs w:val="20"/>
        </w:rPr>
      </w:pPr>
    </w:p>
    <w:p w14:paraId="50091DEE"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t xml:space="preserve">1. Cumplir con los reglamentos establecidos para la propiedad horizontal y las normas que regulan los servicios públicos domiciliarios. </w:t>
      </w:r>
    </w:p>
    <w:p w14:paraId="08CE1CBD" w14:textId="77777777" w:rsidR="001763FE" w:rsidRDefault="001763FE">
      <w:pPr>
        <w:spacing w:after="0" w:line="240" w:lineRule="auto"/>
        <w:ind w:left="709"/>
        <w:jc w:val="both"/>
        <w:rPr>
          <w:rFonts w:ascii="Arial" w:eastAsia="Arial" w:hAnsi="Arial" w:cs="Arial"/>
          <w:sz w:val="20"/>
          <w:szCs w:val="20"/>
        </w:rPr>
      </w:pPr>
    </w:p>
    <w:p w14:paraId="66313A00"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t xml:space="preserve">2. Prevenir daños que se puedan ocasionar a terceros y en caso de que se presenten, responder de conformidad con las normas civiles que regulan la materia. </w:t>
      </w:r>
    </w:p>
    <w:p w14:paraId="098B0CD0" w14:textId="77777777" w:rsidR="001763FE" w:rsidRDefault="001763FE">
      <w:pPr>
        <w:spacing w:after="0" w:line="240" w:lineRule="auto"/>
        <w:ind w:left="709"/>
        <w:jc w:val="both"/>
        <w:rPr>
          <w:rFonts w:ascii="Arial" w:eastAsia="Arial" w:hAnsi="Arial" w:cs="Arial"/>
          <w:sz w:val="20"/>
          <w:szCs w:val="20"/>
        </w:rPr>
      </w:pPr>
    </w:p>
    <w:p w14:paraId="36772FE0"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sz w:val="20"/>
          <w:szCs w:val="20"/>
        </w:rPr>
        <w:t>3. Cumplir con los procedimientos previos, requisitos y normas aplicables a los inmuebles de conservación histórica, arquitectónica o bienes de interés cultural.</w:t>
      </w:r>
    </w:p>
    <w:p w14:paraId="15747394" w14:textId="77777777" w:rsidR="001763FE" w:rsidRDefault="001763FE">
      <w:pPr>
        <w:spacing w:after="0" w:line="240" w:lineRule="auto"/>
        <w:ind w:left="709"/>
        <w:jc w:val="both"/>
        <w:rPr>
          <w:rFonts w:ascii="Arial" w:eastAsia="Arial" w:hAnsi="Arial" w:cs="Arial"/>
          <w:b/>
          <w:sz w:val="20"/>
          <w:szCs w:val="20"/>
        </w:rPr>
      </w:pPr>
    </w:p>
    <w:p w14:paraId="2F82A805"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Repotenciación Estructural: </w:t>
      </w:r>
      <w:r>
        <w:rPr>
          <w:rFonts w:ascii="Arial" w:eastAsia="Arial" w:hAnsi="Arial" w:cs="Arial"/>
          <w:sz w:val="20"/>
          <w:szCs w:val="20"/>
        </w:rPr>
        <w:t>Reforzamiento del conjunto de elementos estructurales de tal forma que se pueda adicionar la capacidad de la estructura mediante procesos constructivos que garanticen el aumento de la capacidad para la cual fue diseñada inicialmente. Estas actividades requieren del mantenimiento previo de los elementos estructurales.</w:t>
      </w:r>
    </w:p>
    <w:p w14:paraId="42748495" w14:textId="77777777" w:rsidR="001763FE" w:rsidRDefault="001763FE">
      <w:pPr>
        <w:spacing w:after="0" w:line="240" w:lineRule="auto"/>
        <w:ind w:left="709"/>
        <w:jc w:val="both"/>
        <w:rPr>
          <w:rFonts w:ascii="Arial" w:eastAsia="Arial" w:hAnsi="Arial" w:cs="Arial"/>
          <w:b/>
          <w:sz w:val="20"/>
          <w:szCs w:val="20"/>
        </w:rPr>
      </w:pPr>
    </w:p>
    <w:p w14:paraId="0B0F2DE3"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Residuo peligroso “RESPEL”: </w:t>
      </w:r>
      <w:r>
        <w:rPr>
          <w:rFonts w:ascii="Arial" w:eastAsia="Arial" w:hAnsi="Arial" w:cs="Arial"/>
          <w:sz w:val="20"/>
          <w:szCs w:val="20"/>
        </w:rPr>
        <w:t>Es aquel residuo o desecho que por sus características corrosivas, reactivas, explosivas, tóxicas, inflamables, infecciosas o radiactivas puede causar riesgo o daño para la salud humana y el ambiente. Así mismo, se considera residuo o desecho peligroso los envases, empaques y embalajes que hayan estado en contacto con ellos.</w:t>
      </w:r>
      <w:r>
        <w:rPr>
          <w:rFonts w:ascii="Arial" w:eastAsia="Arial" w:hAnsi="Arial" w:cs="Arial"/>
          <w:b/>
          <w:sz w:val="20"/>
          <w:szCs w:val="20"/>
        </w:rPr>
        <w:t xml:space="preserve"> </w:t>
      </w:r>
    </w:p>
    <w:p w14:paraId="60600433" w14:textId="77777777" w:rsidR="001763FE" w:rsidRDefault="001763FE">
      <w:pPr>
        <w:spacing w:after="0" w:line="240" w:lineRule="auto"/>
        <w:ind w:left="709"/>
        <w:jc w:val="both"/>
        <w:rPr>
          <w:rFonts w:ascii="Arial" w:eastAsia="Arial" w:hAnsi="Arial" w:cs="Arial"/>
          <w:b/>
          <w:sz w:val="20"/>
          <w:szCs w:val="20"/>
        </w:rPr>
      </w:pPr>
    </w:p>
    <w:p w14:paraId="5E8E1535"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Reutilización</w:t>
      </w:r>
      <w:r>
        <w:rPr>
          <w:rFonts w:ascii="Arial" w:eastAsia="Arial" w:hAnsi="Arial" w:cs="Arial"/>
          <w:sz w:val="20"/>
          <w:szCs w:val="20"/>
        </w:rPr>
        <w:t>: Es la prolongación de la vida útil de los escombros recuperados que se utilizan nuevamente, sin que para ello se requieran procesos adicionales de transformación.</w:t>
      </w:r>
    </w:p>
    <w:p w14:paraId="0BD075B0" w14:textId="77777777" w:rsidR="001763FE" w:rsidRDefault="001763FE">
      <w:pPr>
        <w:spacing w:after="0" w:line="240" w:lineRule="auto"/>
        <w:jc w:val="both"/>
        <w:rPr>
          <w:rFonts w:ascii="Arial" w:eastAsia="Arial" w:hAnsi="Arial" w:cs="Arial"/>
          <w:sz w:val="20"/>
          <w:szCs w:val="20"/>
        </w:rPr>
      </w:pPr>
    </w:p>
    <w:p w14:paraId="573F95D6" w14:textId="77777777" w:rsidR="001763FE" w:rsidRDefault="00000000">
      <w:pPr>
        <w:numPr>
          <w:ilvl w:val="1"/>
          <w:numId w:val="1"/>
        </w:numPr>
        <w:spacing w:after="0" w:line="240" w:lineRule="auto"/>
        <w:ind w:left="709" w:hanging="709"/>
        <w:jc w:val="both"/>
        <w:rPr>
          <w:rFonts w:ascii="Arial" w:eastAsia="Arial" w:hAnsi="Arial" w:cs="Arial"/>
          <w:sz w:val="18"/>
          <w:szCs w:val="18"/>
        </w:rPr>
      </w:pPr>
      <w:r>
        <w:rPr>
          <w:rFonts w:ascii="Arial" w:eastAsia="Arial" w:hAnsi="Arial" w:cs="Arial"/>
          <w:b/>
          <w:sz w:val="20"/>
          <w:szCs w:val="20"/>
        </w:rPr>
        <w:t>Riesgo por residuos o material peligroso</w:t>
      </w:r>
      <w:r>
        <w:rPr>
          <w:rFonts w:ascii="Arial" w:eastAsia="Arial" w:hAnsi="Arial" w:cs="Arial"/>
          <w:sz w:val="20"/>
          <w:szCs w:val="20"/>
        </w:rPr>
        <w:t>: Probabilidad o posibilidad de que el manejo, la liberación al ambiente y la exposición a un material o residuo, ocasionen efectos adversos en la salud humana y/o al ambiente.</w:t>
      </w:r>
    </w:p>
    <w:p w14:paraId="3D6415B9" w14:textId="77777777" w:rsidR="001763FE" w:rsidRDefault="001763FE">
      <w:pPr>
        <w:spacing w:after="0" w:line="240" w:lineRule="auto"/>
        <w:jc w:val="both"/>
        <w:rPr>
          <w:rFonts w:ascii="Arial" w:eastAsia="Arial" w:hAnsi="Arial" w:cs="Arial"/>
          <w:sz w:val="18"/>
          <w:szCs w:val="18"/>
        </w:rPr>
      </w:pPr>
    </w:p>
    <w:p w14:paraId="43A2320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lastRenderedPageBreak/>
        <w:t>Suelos contaminados:</w:t>
      </w:r>
      <w:r>
        <w:t xml:space="preserve"> </w:t>
      </w:r>
      <w:r>
        <w:rPr>
          <w:rFonts w:ascii="Arial" w:eastAsia="Arial" w:hAnsi="Arial" w:cs="Arial"/>
          <w:sz w:val="20"/>
          <w:szCs w:val="20"/>
        </w:rPr>
        <w:t>Área en la cual el suelo, el agua subterránea o los sedimentos contienen contaminantes en concentraciones que superen los límites genéricos basados en riesgos a la salud o al ambiente en función del uso actual o previsto del suelo.</w:t>
      </w:r>
    </w:p>
    <w:p w14:paraId="4065E586" w14:textId="77777777" w:rsidR="001763FE" w:rsidRDefault="001763FE">
      <w:pPr>
        <w:spacing w:after="0" w:line="240" w:lineRule="auto"/>
        <w:jc w:val="both"/>
        <w:rPr>
          <w:rFonts w:ascii="Arial" w:eastAsia="Arial" w:hAnsi="Arial" w:cs="Arial"/>
          <w:sz w:val="20"/>
          <w:szCs w:val="20"/>
        </w:rPr>
      </w:pPr>
    </w:p>
    <w:p w14:paraId="20231B40"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Sardinel o Bordillo: </w:t>
      </w:r>
      <w:r>
        <w:rPr>
          <w:rFonts w:ascii="Arial" w:eastAsia="Arial" w:hAnsi="Arial" w:cs="Arial"/>
          <w:sz w:val="20"/>
          <w:szCs w:val="20"/>
        </w:rPr>
        <w:t>Elemento que separa una calzada del andén o del separador de una vía.</w:t>
      </w:r>
    </w:p>
    <w:p w14:paraId="7DD92A5B" w14:textId="77777777" w:rsidR="001763FE" w:rsidRDefault="001763FE">
      <w:pPr>
        <w:spacing w:after="0" w:line="240" w:lineRule="auto"/>
        <w:jc w:val="both"/>
        <w:rPr>
          <w:b/>
        </w:rPr>
      </w:pPr>
    </w:p>
    <w:p w14:paraId="0F3AE989"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Sectores de interés cultural: </w:t>
      </w:r>
      <w:r>
        <w:rPr>
          <w:rFonts w:ascii="Arial" w:eastAsia="Arial" w:hAnsi="Arial" w:cs="Arial"/>
          <w:sz w:val="20"/>
          <w:szCs w:val="20"/>
        </w:rPr>
        <w:t>Son aquellos barrios o áreas que tienen un valor urbano muy especial asociado a la historia de la ciudad, a su calidad urbana y a la calidad arquitectónica de las construcciones y elementos que lo conforman.</w:t>
      </w:r>
    </w:p>
    <w:p w14:paraId="621DE5A3" w14:textId="77777777" w:rsidR="001763FE" w:rsidRDefault="001763FE">
      <w:pPr>
        <w:spacing w:after="0" w:line="240" w:lineRule="auto"/>
        <w:ind w:firstLine="708"/>
        <w:jc w:val="both"/>
        <w:rPr>
          <w:rFonts w:ascii="Arial" w:eastAsia="Arial" w:hAnsi="Arial" w:cs="Arial"/>
          <w:sz w:val="20"/>
          <w:szCs w:val="20"/>
        </w:rPr>
      </w:pPr>
    </w:p>
    <w:p w14:paraId="2FFF9940"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Sendero Peatonal</w:t>
      </w:r>
      <w:r>
        <w:rPr>
          <w:rFonts w:ascii="Arial" w:eastAsia="Arial" w:hAnsi="Arial" w:cs="Arial"/>
          <w:sz w:val="20"/>
          <w:szCs w:val="20"/>
        </w:rPr>
        <w:t>: Camino de uso público destinado exclusivamente al tránsito de peatones.</w:t>
      </w:r>
    </w:p>
    <w:p w14:paraId="7BA6E977" w14:textId="77777777" w:rsidR="001763FE" w:rsidRDefault="001763FE">
      <w:pPr>
        <w:spacing w:after="0" w:line="240" w:lineRule="auto"/>
        <w:ind w:left="709"/>
        <w:jc w:val="both"/>
        <w:rPr>
          <w:rFonts w:ascii="Arial" w:eastAsia="Arial" w:hAnsi="Arial" w:cs="Arial"/>
          <w:sz w:val="20"/>
          <w:szCs w:val="20"/>
        </w:rPr>
      </w:pPr>
    </w:p>
    <w:p w14:paraId="4D57636E"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Sendero Elevado: </w:t>
      </w:r>
      <w:r>
        <w:rPr>
          <w:rFonts w:ascii="Arial" w:eastAsia="Arial" w:hAnsi="Arial" w:cs="Arial"/>
          <w:sz w:val="20"/>
          <w:szCs w:val="20"/>
        </w:rPr>
        <w:t>Camino de uso público destinado exclusivamente al tránsito de peatones, y que se encuentra construido por encima de nivel de terrero.</w:t>
      </w:r>
    </w:p>
    <w:p w14:paraId="2C8E4DB3" w14:textId="77777777" w:rsidR="001763FE" w:rsidRDefault="001763FE">
      <w:pPr>
        <w:pBdr>
          <w:top w:val="nil"/>
          <w:left w:val="nil"/>
          <w:bottom w:val="nil"/>
          <w:right w:val="nil"/>
          <w:between w:val="nil"/>
        </w:pBdr>
        <w:ind w:left="720"/>
        <w:rPr>
          <w:rFonts w:ascii="Arial" w:eastAsia="Arial" w:hAnsi="Arial" w:cs="Arial"/>
          <w:b/>
          <w:color w:val="000000"/>
          <w:sz w:val="20"/>
          <w:szCs w:val="20"/>
        </w:rPr>
      </w:pPr>
    </w:p>
    <w:p w14:paraId="6A47A497"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Señalización:</w:t>
      </w:r>
      <w:r>
        <w:rPr>
          <w:rFonts w:ascii="Arial" w:eastAsia="Arial" w:hAnsi="Arial" w:cs="Arial"/>
          <w:sz w:val="20"/>
          <w:szCs w:val="20"/>
        </w:rPr>
        <w:t xml:space="preserve"> Conjunto de señales destinado a regular el tránsito. Dichas señales pueden ser señales verticales y señalización horizontal o demarcaciones.</w:t>
      </w:r>
    </w:p>
    <w:p w14:paraId="59822985"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Señalización Vertical:</w:t>
      </w:r>
      <w:r>
        <w:rPr>
          <w:rFonts w:ascii="Arial" w:eastAsia="Arial" w:hAnsi="Arial" w:cs="Arial"/>
          <w:sz w:val="20"/>
          <w:szCs w:val="20"/>
        </w:rPr>
        <w:t xml:space="preserve"> Dispositivos físicos que indican la forma correcta como deben transitar los usuarios de las vías; se instalan para transmitir órdenes o instrucciones mediante palabras o símbolos.  </w:t>
      </w:r>
    </w:p>
    <w:p w14:paraId="717FA609" w14:textId="77777777" w:rsidR="001763FE" w:rsidRDefault="001763FE">
      <w:pPr>
        <w:spacing w:after="0" w:line="240" w:lineRule="auto"/>
        <w:ind w:left="709"/>
        <w:jc w:val="both"/>
        <w:rPr>
          <w:rFonts w:ascii="Arial" w:eastAsia="Arial" w:hAnsi="Arial" w:cs="Arial"/>
          <w:b/>
          <w:sz w:val="20"/>
          <w:szCs w:val="20"/>
        </w:rPr>
      </w:pPr>
    </w:p>
    <w:p w14:paraId="4911957D"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Sitio de Disposición Final: </w:t>
      </w:r>
      <w:r>
        <w:rPr>
          <w:rFonts w:ascii="Arial" w:eastAsia="Arial" w:hAnsi="Arial" w:cs="Arial"/>
          <w:sz w:val="20"/>
          <w:szCs w:val="20"/>
        </w:rPr>
        <w:t>Lugar autorizado destinado para recibir y acopiar de forma definitiva el material residual del aprovechamiento en las plantas y todo aquel RCD pétreo que por sus características físicas no pudo ser objeto de aprovechamiento.</w:t>
      </w:r>
    </w:p>
    <w:p w14:paraId="42A0BDBE" w14:textId="77777777" w:rsidR="001763FE" w:rsidRDefault="001763FE">
      <w:pPr>
        <w:spacing w:after="0" w:line="240" w:lineRule="auto"/>
        <w:ind w:left="720"/>
        <w:jc w:val="both"/>
        <w:rPr>
          <w:rFonts w:ascii="Arial" w:eastAsia="Arial" w:hAnsi="Arial" w:cs="Arial"/>
          <w:sz w:val="20"/>
          <w:szCs w:val="20"/>
        </w:rPr>
      </w:pPr>
    </w:p>
    <w:p w14:paraId="2B9BF9F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Sistema Combinado: </w:t>
      </w:r>
      <w:r>
        <w:rPr>
          <w:rFonts w:ascii="Arial" w:eastAsia="Arial" w:hAnsi="Arial" w:cs="Arial"/>
          <w:sz w:val="20"/>
          <w:szCs w:val="20"/>
        </w:rPr>
        <w:t xml:space="preserve">Sistema estructural en el cual las cargas verticales son resistidas por un pórtico, resistente a momentos o no, esencialmente completo, y las fuerzas horizontales son resistidas por muros estructurales o pórticos con diagonales. </w:t>
      </w:r>
    </w:p>
    <w:p w14:paraId="19D24231" w14:textId="77777777" w:rsidR="001763FE" w:rsidRDefault="001763FE">
      <w:pPr>
        <w:spacing w:after="0" w:line="240" w:lineRule="auto"/>
        <w:ind w:left="720"/>
        <w:jc w:val="both"/>
        <w:rPr>
          <w:rFonts w:ascii="Arial" w:eastAsia="Arial" w:hAnsi="Arial" w:cs="Arial"/>
          <w:b/>
          <w:sz w:val="20"/>
          <w:szCs w:val="20"/>
        </w:rPr>
      </w:pPr>
    </w:p>
    <w:p w14:paraId="32421F2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Sistema de Arriostramiento Horizontal:</w:t>
      </w:r>
      <w:r>
        <w:rPr>
          <w:rFonts w:ascii="Arial" w:eastAsia="Arial" w:hAnsi="Arial" w:cs="Arial"/>
          <w:sz w:val="20"/>
          <w:szCs w:val="20"/>
        </w:rPr>
        <w:t xml:space="preserve"> Sistema de cercha o armadura horizontal que cumple las mismas funciones de un diafragma. </w:t>
      </w:r>
    </w:p>
    <w:p w14:paraId="2DB0F9D9" w14:textId="77777777" w:rsidR="001763FE" w:rsidRDefault="001763FE">
      <w:pPr>
        <w:spacing w:after="0" w:line="240" w:lineRule="auto"/>
        <w:ind w:left="720"/>
        <w:jc w:val="both"/>
        <w:rPr>
          <w:rFonts w:ascii="Arial" w:eastAsia="Arial" w:hAnsi="Arial" w:cs="Arial"/>
          <w:b/>
          <w:sz w:val="20"/>
          <w:szCs w:val="20"/>
        </w:rPr>
      </w:pPr>
    </w:p>
    <w:p w14:paraId="796DD0E5"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Sistema de Muros de Carga: </w:t>
      </w:r>
      <w:r>
        <w:rPr>
          <w:rFonts w:ascii="Arial" w:eastAsia="Arial" w:hAnsi="Arial" w:cs="Arial"/>
          <w:sz w:val="20"/>
          <w:szCs w:val="20"/>
        </w:rPr>
        <w:t xml:space="preserve">Sistema estructural que no dispone de un pórtico esencialmente completo y en el cual las cargas verticales son llevadas hasta la cimentación por los muros de carga y las fuerzas horizontales son resistidas por muros estructurales o pórticos con diagonales. </w:t>
      </w:r>
    </w:p>
    <w:p w14:paraId="04F3E3F2" w14:textId="77777777" w:rsidR="001763FE" w:rsidRDefault="001763FE">
      <w:pPr>
        <w:spacing w:after="0" w:line="240" w:lineRule="auto"/>
        <w:ind w:left="720"/>
        <w:jc w:val="both"/>
        <w:rPr>
          <w:rFonts w:ascii="Arial" w:eastAsia="Arial" w:hAnsi="Arial" w:cs="Arial"/>
          <w:b/>
          <w:sz w:val="20"/>
          <w:szCs w:val="20"/>
        </w:rPr>
      </w:pPr>
    </w:p>
    <w:p w14:paraId="1B7C6D0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Sistema de Pórtico: </w:t>
      </w:r>
      <w:r>
        <w:rPr>
          <w:rFonts w:ascii="Arial" w:eastAsia="Arial" w:hAnsi="Arial" w:cs="Arial"/>
          <w:sz w:val="20"/>
          <w:szCs w:val="20"/>
        </w:rPr>
        <w:t xml:space="preserve">Sistema estructural compuesto por un pórtico espacial resistente a momentos, esencialmente completo, no arriostrado, que resiste todas las cargas verticales y las fuerzas horizontales. </w:t>
      </w:r>
    </w:p>
    <w:p w14:paraId="0F700655" w14:textId="77777777" w:rsidR="001763FE" w:rsidRDefault="001763FE">
      <w:pPr>
        <w:spacing w:after="0" w:line="240" w:lineRule="auto"/>
        <w:ind w:left="720"/>
        <w:jc w:val="both"/>
        <w:rPr>
          <w:rFonts w:ascii="Arial" w:eastAsia="Arial" w:hAnsi="Arial" w:cs="Arial"/>
          <w:b/>
          <w:sz w:val="20"/>
          <w:szCs w:val="20"/>
        </w:rPr>
      </w:pPr>
    </w:p>
    <w:p w14:paraId="57AF9B5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Sistema de Resistencia Sísmica: </w:t>
      </w:r>
      <w:r>
        <w:rPr>
          <w:rFonts w:ascii="Arial" w:eastAsia="Arial" w:hAnsi="Arial" w:cs="Arial"/>
          <w:sz w:val="20"/>
          <w:szCs w:val="20"/>
        </w:rPr>
        <w:t xml:space="preserve">Parte de la estructura que según el diseño aporta la resistencia requerida para soportar los movimientos sísmicos de diseño. </w:t>
      </w:r>
    </w:p>
    <w:p w14:paraId="06E7DFE8" w14:textId="77777777" w:rsidR="001763FE" w:rsidRDefault="001763FE">
      <w:pPr>
        <w:spacing w:after="0" w:line="240" w:lineRule="auto"/>
        <w:ind w:left="720"/>
        <w:jc w:val="both"/>
        <w:rPr>
          <w:rFonts w:ascii="Arial" w:eastAsia="Arial" w:hAnsi="Arial" w:cs="Arial"/>
          <w:b/>
          <w:sz w:val="20"/>
          <w:szCs w:val="20"/>
        </w:rPr>
      </w:pPr>
    </w:p>
    <w:p w14:paraId="088585B3"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Sistema Dual: </w:t>
      </w:r>
      <w:r>
        <w:rPr>
          <w:rFonts w:ascii="Arial" w:eastAsia="Arial" w:hAnsi="Arial" w:cs="Arial"/>
          <w:sz w:val="20"/>
          <w:szCs w:val="20"/>
        </w:rPr>
        <w:t xml:space="preserve">Sistema estructural resultante de la combinación de un pórtico espacial resistente a momentos (de capacidad moderada o alta de disipación de energía) con muros estructurales o pórticos con diagonales, diseñado de acuerdo con lo establecido en la NSR-10.  </w:t>
      </w:r>
    </w:p>
    <w:p w14:paraId="0566E345" w14:textId="77777777" w:rsidR="001763FE" w:rsidRDefault="001763FE">
      <w:pPr>
        <w:spacing w:after="0" w:line="240" w:lineRule="auto"/>
        <w:ind w:left="709"/>
        <w:jc w:val="both"/>
        <w:rPr>
          <w:b/>
        </w:rPr>
      </w:pPr>
    </w:p>
    <w:p w14:paraId="57298D3B"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Sistema Nacional de Cultura: </w:t>
      </w:r>
      <w:r>
        <w:rPr>
          <w:rFonts w:ascii="Arial" w:eastAsia="Arial" w:hAnsi="Arial" w:cs="Arial"/>
          <w:sz w:val="20"/>
          <w:szCs w:val="20"/>
        </w:rPr>
        <w:t xml:space="preserve">Se entiende por Sistema Nacional de Cultura el conjunto de instancias, espacios de participación y procesos de desarrollo institucional, planificación, </w:t>
      </w:r>
      <w:r>
        <w:rPr>
          <w:rFonts w:ascii="Arial" w:eastAsia="Arial" w:hAnsi="Arial" w:cs="Arial"/>
          <w:sz w:val="20"/>
          <w:szCs w:val="20"/>
        </w:rPr>
        <w:lastRenderedPageBreak/>
        <w:t>financiación, formación, e información articulados entre sí, que posibilitan el desarrollo cultural y el acceso de la comunidad a los bienes y servicios culturales</w:t>
      </w:r>
      <w:r>
        <w:rPr>
          <w:rFonts w:ascii="Arial" w:eastAsia="Arial" w:hAnsi="Arial" w:cs="Arial"/>
          <w:sz w:val="20"/>
          <w:szCs w:val="20"/>
          <w:vertAlign w:val="superscript"/>
        </w:rPr>
        <w:footnoteReference w:id="6"/>
      </w:r>
      <w:r>
        <w:rPr>
          <w:rFonts w:ascii="Arial" w:eastAsia="Arial" w:hAnsi="Arial" w:cs="Arial"/>
          <w:sz w:val="20"/>
          <w:szCs w:val="20"/>
        </w:rPr>
        <w:t>.</w:t>
      </w:r>
    </w:p>
    <w:p w14:paraId="701BEEFE" w14:textId="77777777" w:rsidR="001763FE" w:rsidRDefault="001763FE">
      <w:pPr>
        <w:spacing w:after="0" w:line="240" w:lineRule="auto"/>
        <w:ind w:left="720"/>
        <w:jc w:val="both"/>
        <w:rPr>
          <w:rFonts w:ascii="Arial" w:eastAsia="Arial" w:hAnsi="Arial" w:cs="Arial"/>
          <w:b/>
          <w:sz w:val="20"/>
          <w:szCs w:val="20"/>
        </w:rPr>
      </w:pPr>
    </w:p>
    <w:p w14:paraId="7AAC68F3"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Suelo Rural:</w:t>
      </w:r>
      <w:r>
        <w:rPr>
          <w:rFonts w:ascii="Arial" w:eastAsia="Arial" w:hAnsi="Arial" w:cs="Arial"/>
          <w:sz w:val="20"/>
          <w:szCs w:val="20"/>
        </w:rPr>
        <w:t xml:space="preserve"> Terrenos no aptos para el uso urbano por razones de oportunidad o por su destinación a usos agrícolas, ganaderos, forestales, de explotación de recursos naturales y actividades análogas. </w:t>
      </w:r>
    </w:p>
    <w:p w14:paraId="43433B06" w14:textId="77777777" w:rsidR="001763FE" w:rsidRDefault="001763FE">
      <w:pPr>
        <w:spacing w:after="0" w:line="240" w:lineRule="auto"/>
        <w:ind w:left="720"/>
        <w:jc w:val="both"/>
        <w:rPr>
          <w:rFonts w:ascii="Arial" w:eastAsia="Arial" w:hAnsi="Arial" w:cs="Arial"/>
          <w:b/>
          <w:sz w:val="20"/>
          <w:szCs w:val="20"/>
        </w:rPr>
      </w:pPr>
    </w:p>
    <w:p w14:paraId="053C1BB1"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Suelo Urbano:</w:t>
      </w:r>
      <w:r>
        <w:rPr>
          <w:rFonts w:ascii="Arial" w:eastAsia="Arial" w:hAnsi="Arial" w:cs="Arial"/>
          <w:sz w:val="20"/>
          <w:szCs w:val="20"/>
        </w:rPr>
        <w:t xml:space="preserve"> Áreas del territorio distrital o municipal destinadas a usos urbanos por el respectivo instrumento de ordenamiento territorial (plan, plan básico o esquema) que cuenten con infraestructura vial y redes primarias de energía, acueducto y alcantarillado, posibilitándose su urbanización y edificación, según sea el caso. Podrán pertenecer a esta categoría aquellas zonas con procesos de urbanización incompletos, comprendidos en áreas consolidadas con edificación que se definan como áreas de mejoramiento integral en los instrumentos de ordenamiento territorial. Las áreas que conforman el suelo urbano serán delimitadas por perímetros y podrán incluir los centros poblados de los corregimientos. En ningún caso el perímetro urbano podrá ser mayor que el denominado perímetro de servicios públicos o sanitarios. </w:t>
      </w:r>
    </w:p>
    <w:p w14:paraId="6DFF05D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Transportador: </w:t>
      </w:r>
      <w:r>
        <w:rPr>
          <w:rFonts w:ascii="Arial" w:eastAsia="Arial" w:hAnsi="Arial" w:cs="Arial"/>
          <w:sz w:val="20"/>
          <w:szCs w:val="20"/>
        </w:rPr>
        <w:t>cualquier persona natural o jurídica que preste servicios de recolección y traslado de RCD en distintos puntos de generación, pudiendo asumir o no la titularidad de los mismos.</w:t>
      </w:r>
    </w:p>
    <w:p w14:paraId="6B907102" w14:textId="77777777" w:rsidR="001763FE" w:rsidRDefault="001763FE">
      <w:pPr>
        <w:spacing w:after="0" w:line="240" w:lineRule="auto"/>
        <w:ind w:left="709"/>
        <w:jc w:val="both"/>
        <w:rPr>
          <w:rFonts w:ascii="Arial" w:eastAsia="Arial" w:hAnsi="Arial" w:cs="Arial"/>
          <w:b/>
          <w:sz w:val="20"/>
          <w:szCs w:val="20"/>
        </w:rPr>
      </w:pPr>
    </w:p>
    <w:p w14:paraId="1F4C3A76"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Tratamiento:</w:t>
      </w:r>
      <w:r>
        <w:rPr>
          <w:rFonts w:ascii="Arial" w:eastAsia="Arial" w:hAnsi="Arial" w:cs="Arial"/>
          <w:sz w:val="20"/>
          <w:szCs w:val="20"/>
        </w:rPr>
        <w:t xml:space="preserve"> Es el conjunto de operaciones, procesos o técnicas mediante los cuales se modifican las características de los residuos de construcción y demolición, incrementando sus posibilidades de reutilización o y se minimizan los impactos ambientales y los riesgos para la salud humana.</w:t>
      </w:r>
    </w:p>
    <w:p w14:paraId="4A6B8786" w14:textId="77777777" w:rsidR="001763FE" w:rsidRDefault="001763FE">
      <w:pPr>
        <w:spacing w:after="0" w:line="240" w:lineRule="auto"/>
        <w:ind w:left="709"/>
        <w:jc w:val="both"/>
        <w:rPr>
          <w:rFonts w:ascii="Arial" w:eastAsia="Arial" w:hAnsi="Arial" w:cs="Arial"/>
          <w:sz w:val="20"/>
          <w:szCs w:val="20"/>
        </w:rPr>
      </w:pPr>
    </w:p>
    <w:p w14:paraId="1A3B0489"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Trazabilidad: </w:t>
      </w:r>
      <w:r>
        <w:rPr>
          <w:rFonts w:ascii="Arial" w:eastAsia="Arial" w:hAnsi="Arial" w:cs="Arial"/>
          <w:sz w:val="20"/>
          <w:szCs w:val="20"/>
        </w:rPr>
        <w:t>Conjunto de aquellos procedimientos preestablecidos que permiten conocer el origen, tipo, ubicación, cantidad y la trayectoria, en este caso de los RCD, en un momento dado, a través de unas herramientas determinadas, así como los históricos de origen, tipo, ubicación, cantidad y trayectoria para un periodo de tiempo determinado.</w:t>
      </w:r>
    </w:p>
    <w:p w14:paraId="6529C1FA" w14:textId="77777777" w:rsidR="001763FE" w:rsidRDefault="001763FE">
      <w:pPr>
        <w:spacing w:after="0" w:line="240" w:lineRule="auto"/>
        <w:jc w:val="both"/>
        <w:rPr>
          <w:rFonts w:ascii="Arial" w:eastAsia="Arial" w:hAnsi="Arial" w:cs="Arial"/>
          <w:sz w:val="20"/>
          <w:szCs w:val="20"/>
        </w:rPr>
      </w:pPr>
    </w:p>
    <w:p w14:paraId="0E03753B" w14:textId="77777777" w:rsidR="001763FE" w:rsidRDefault="00000000">
      <w:pPr>
        <w:numPr>
          <w:ilvl w:val="1"/>
          <w:numId w:val="1"/>
        </w:numPr>
        <w:spacing w:after="0" w:line="240" w:lineRule="auto"/>
        <w:ind w:left="709" w:hanging="709"/>
        <w:jc w:val="both"/>
        <w:rPr>
          <w:rFonts w:ascii="Arial" w:eastAsia="Arial" w:hAnsi="Arial" w:cs="Arial"/>
          <w:sz w:val="20"/>
          <w:szCs w:val="20"/>
        </w:rPr>
      </w:pPr>
      <w:r>
        <w:rPr>
          <w:rFonts w:ascii="Arial" w:eastAsia="Arial" w:hAnsi="Arial" w:cs="Arial"/>
          <w:b/>
          <w:sz w:val="20"/>
          <w:szCs w:val="20"/>
        </w:rPr>
        <w:t xml:space="preserve">Urbanismo: </w:t>
      </w:r>
      <w:r>
        <w:rPr>
          <w:rFonts w:ascii="Arial" w:eastAsia="Arial" w:hAnsi="Arial" w:cs="Arial"/>
          <w:sz w:val="20"/>
          <w:szCs w:val="20"/>
        </w:rPr>
        <w:t>[la Entidad podrá adaptar o modificar esta definición de acuerdo con las nociones de la norma urbana o de urbanismo vigentes aplicables a la región o zona en la cual se desarrolle el proyecto.] Constituye la organización u ordenación de las edificaciones y los espacios de una ciudad acorde con un marco normativo vigente aplicable. Es por tanto una disciplina que define teniendo en cuenta la estética, la sociología, la economía, la política, la higiene, la tecnología, el diseño de la ciudad y su entorno</w:t>
      </w:r>
      <w:r>
        <w:rPr>
          <w:rFonts w:ascii="Arial" w:eastAsia="Arial" w:hAnsi="Arial" w:cs="Arial"/>
          <w:sz w:val="20"/>
          <w:szCs w:val="20"/>
          <w:vertAlign w:val="superscript"/>
        </w:rPr>
        <w:footnoteReference w:id="7"/>
      </w:r>
      <w:r>
        <w:rPr>
          <w:rFonts w:ascii="Arial" w:eastAsia="Arial" w:hAnsi="Arial" w:cs="Arial"/>
          <w:sz w:val="20"/>
          <w:szCs w:val="20"/>
        </w:rPr>
        <w:t xml:space="preserve">.  </w:t>
      </w:r>
    </w:p>
    <w:p w14:paraId="35B51101" w14:textId="77777777" w:rsidR="001763FE" w:rsidRDefault="001763FE">
      <w:pPr>
        <w:spacing w:after="0" w:line="240" w:lineRule="auto"/>
        <w:ind w:left="708"/>
        <w:jc w:val="both"/>
        <w:rPr>
          <w:rFonts w:ascii="Arial" w:eastAsia="Arial" w:hAnsi="Arial" w:cs="Arial"/>
          <w:sz w:val="20"/>
          <w:szCs w:val="20"/>
        </w:rPr>
      </w:pPr>
    </w:p>
    <w:p w14:paraId="7E5A3285" w14:textId="77777777" w:rsidR="001763FE" w:rsidRDefault="00000000">
      <w:pPr>
        <w:spacing w:after="0" w:line="240" w:lineRule="auto"/>
        <w:ind w:left="708"/>
        <w:jc w:val="both"/>
        <w:rPr>
          <w:rFonts w:ascii="Arial" w:eastAsia="Arial" w:hAnsi="Arial" w:cs="Arial"/>
          <w:sz w:val="20"/>
          <w:szCs w:val="20"/>
        </w:rPr>
      </w:pPr>
      <w:r>
        <w:rPr>
          <w:rFonts w:ascii="Arial" w:eastAsia="Arial" w:hAnsi="Arial" w:cs="Arial"/>
          <w:sz w:val="20"/>
          <w:szCs w:val="20"/>
        </w:rPr>
        <w:t>En los casos de urbanismo para los conjuntos cerrados, el proyecto de urbanismo debe contemplar las vías de acceso, vías interiores, juegos, parqueaderos y jardines, de acuerdo con las normas de la entidad competente</w:t>
      </w:r>
      <w:r>
        <w:rPr>
          <w:rFonts w:ascii="Arial" w:eastAsia="Arial" w:hAnsi="Arial" w:cs="Arial"/>
          <w:sz w:val="20"/>
          <w:szCs w:val="20"/>
          <w:vertAlign w:val="superscript"/>
        </w:rPr>
        <w:footnoteReference w:id="8"/>
      </w:r>
      <w:r>
        <w:rPr>
          <w:rFonts w:ascii="Arial" w:eastAsia="Arial" w:hAnsi="Arial" w:cs="Arial"/>
          <w:sz w:val="20"/>
          <w:szCs w:val="20"/>
        </w:rPr>
        <w:t xml:space="preserve">. </w:t>
      </w:r>
    </w:p>
    <w:p w14:paraId="65510C61" w14:textId="77777777" w:rsidR="001763FE" w:rsidRDefault="001763FE">
      <w:pPr>
        <w:spacing w:after="0" w:line="240" w:lineRule="auto"/>
        <w:ind w:left="709"/>
        <w:jc w:val="both"/>
        <w:rPr>
          <w:rFonts w:ascii="Arial" w:eastAsia="Arial" w:hAnsi="Arial" w:cs="Arial"/>
          <w:b/>
          <w:sz w:val="20"/>
          <w:szCs w:val="20"/>
        </w:rPr>
      </w:pPr>
    </w:p>
    <w:p w14:paraId="7154CD03"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Vehículo: </w:t>
      </w:r>
      <w:r>
        <w:rPr>
          <w:rFonts w:ascii="Arial" w:eastAsia="Arial" w:hAnsi="Arial" w:cs="Arial"/>
          <w:sz w:val="20"/>
          <w:szCs w:val="20"/>
        </w:rPr>
        <w:t>Aparato montado sobre ruedas que permite el transporte de personas, animales o cosas de un punto a otro por vía terrestre pública o privada abierta al público.</w:t>
      </w:r>
    </w:p>
    <w:p w14:paraId="5D49DBE2" w14:textId="77777777" w:rsidR="001763FE" w:rsidRDefault="001763FE">
      <w:pPr>
        <w:spacing w:after="0" w:line="240" w:lineRule="auto"/>
        <w:ind w:left="709"/>
        <w:jc w:val="both"/>
        <w:rPr>
          <w:rFonts w:ascii="Arial" w:eastAsia="Arial" w:hAnsi="Arial" w:cs="Arial"/>
          <w:b/>
          <w:sz w:val="20"/>
          <w:szCs w:val="20"/>
        </w:rPr>
      </w:pPr>
    </w:p>
    <w:p w14:paraId="7585473D"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Vehículo Automotor: </w:t>
      </w:r>
      <w:r>
        <w:rPr>
          <w:rFonts w:ascii="Arial" w:eastAsia="Arial" w:hAnsi="Arial" w:cs="Arial"/>
          <w:sz w:val="20"/>
          <w:szCs w:val="20"/>
        </w:rPr>
        <w:t>Vehículo terrestre que tiene motor y tracción propia (carros, buses, camiones, Motocicleta, Motocarro, Mototriciclo, cuatrimotos, grúas, autobuses), que circula por sus propios medios y sirve generalmente para el transporte de personas o bienes o para tracción vial de otros vehículos.</w:t>
      </w:r>
    </w:p>
    <w:p w14:paraId="150ADCB5" w14:textId="77777777" w:rsidR="001763FE" w:rsidRDefault="001763FE">
      <w:pPr>
        <w:spacing w:after="0" w:line="240" w:lineRule="auto"/>
        <w:ind w:left="709"/>
        <w:jc w:val="both"/>
        <w:rPr>
          <w:rFonts w:ascii="Arial" w:eastAsia="Arial" w:hAnsi="Arial" w:cs="Arial"/>
          <w:b/>
          <w:sz w:val="20"/>
          <w:szCs w:val="20"/>
        </w:rPr>
      </w:pPr>
    </w:p>
    <w:p w14:paraId="5CC1D4A8"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lastRenderedPageBreak/>
        <w:t xml:space="preserve">Vías: </w:t>
      </w:r>
      <w:r>
        <w:rPr>
          <w:rFonts w:ascii="Arial" w:eastAsia="Arial" w:hAnsi="Arial" w:cs="Arial"/>
          <w:sz w:val="20"/>
          <w:szCs w:val="20"/>
        </w:rPr>
        <w:t>Franja de uso público o privado, abierta al público, destinada al tránsito de vehículos, personas y animales.</w:t>
      </w:r>
    </w:p>
    <w:p w14:paraId="1308271F" w14:textId="77777777" w:rsidR="001763FE" w:rsidRDefault="001763FE">
      <w:pPr>
        <w:spacing w:after="0" w:line="240" w:lineRule="auto"/>
        <w:ind w:left="709"/>
        <w:jc w:val="both"/>
        <w:rPr>
          <w:rFonts w:ascii="Arial" w:eastAsia="Arial" w:hAnsi="Arial" w:cs="Arial"/>
          <w:b/>
          <w:sz w:val="20"/>
          <w:szCs w:val="20"/>
        </w:rPr>
      </w:pPr>
    </w:p>
    <w:p w14:paraId="3AD18DE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Vías Férreas y/o Corredores Férreos: </w:t>
      </w:r>
      <w:r>
        <w:rPr>
          <w:rFonts w:ascii="Arial" w:eastAsia="Arial" w:hAnsi="Arial" w:cs="Arial"/>
          <w:sz w:val="20"/>
          <w:szCs w:val="20"/>
        </w:rPr>
        <w:t>Infraestructuras del transporte cuya finalidad es permitir la circulación de vehículos férreos exclusivamente (trenes, locomotoras, vagones) que lo hacen en carrileras y/o rieles especializados, en condiciones de continuidad en el espacio y en el tiempo, con niveles adecuados de seguridad y de comodidad.</w:t>
      </w:r>
    </w:p>
    <w:p w14:paraId="143EA9BF" w14:textId="77777777" w:rsidR="001763FE" w:rsidRDefault="001763FE">
      <w:pPr>
        <w:spacing w:after="0" w:line="240" w:lineRule="auto"/>
        <w:ind w:left="709"/>
        <w:jc w:val="both"/>
        <w:rPr>
          <w:rFonts w:ascii="Arial" w:eastAsia="Arial" w:hAnsi="Arial" w:cs="Arial"/>
          <w:b/>
          <w:sz w:val="20"/>
          <w:szCs w:val="20"/>
        </w:rPr>
      </w:pPr>
    </w:p>
    <w:p w14:paraId="4302C66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Vías Fluviales: </w:t>
      </w:r>
      <w:r>
        <w:rPr>
          <w:rFonts w:ascii="Arial" w:eastAsia="Arial" w:hAnsi="Arial" w:cs="Arial"/>
          <w:sz w:val="20"/>
          <w:szCs w:val="20"/>
        </w:rPr>
        <w:t>Ríos, caños, esteros o cuerpos de agua de origen fluvial que se utilizan como medio de transporte de pasajeros o carga.</w:t>
      </w:r>
    </w:p>
    <w:p w14:paraId="5C8211DE" w14:textId="77777777" w:rsidR="001763FE" w:rsidRDefault="001763FE">
      <w:pPr>
        <w:spacing w:after="0" w:line="240" w:lineRule="auto"/>
        <w:ind w:left="709"/>
        <w:jc w:val="both"/>
        <w:rPr>
          <w:rFonts w:ascii="Arial" w:eastAsia="Arial" w:hAnsi="Arial" w:cs="Arial"/>
          <w:b/>
          <w:sz w:val="20"/>
          <w:szCs w:val="20"/>
        </w:rPr>
      </w:pPr>
    </w:p>
    <w:p w14:paraId="04F45130"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Vía Peatonal: </w:t>
      </w:r>
      <w:r>
        <w:rPr>
          <w:rFonts w:ascii="Arial" w:eastAsia="Arial" w:hAnsi="Arial" w:cs="Arial"/>
          <w:sz w:val="20"/>
          <w:szCs w:val="20"/>
        </w:rPr>
        <w:t>Áreas o zonas de la ciudad destinadas para el tránsito exclusivo de peatones donde está restringida la circulación de vehículos automotor.</w:t>
      </w:r>
    </w:p>
    <w:p w14:paraId="2BDB4241" w14:textId="77777777" w:rsidR="001763FE" w:rsidRDefault="001763FE">
      <w:pPr>
        <w:spacing w:after="0" w:line="240" w:lineRule="auto"/>
        <w:ind w:left="709"/>
        <w:jc w:val="both"/>
        <w:rPr>
          <w:rFonts w:ascii="Arial" w:eastAsia="Arial" w:hAnsi="Arial" w:cs="Arial"/>
          <w:b/>
          <w:sz w:val="20"/>
          <w:szCs w:val="20"/>
        </w:rPr>
      </w:pPr>
    </w:p>
    <w:p w14:paraId="15898AB6"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Vías Rurales: </w:t>
      </w:r>
      <w:r>
        <w:rPr>
          <w:rFonts w:ascii="Arial" w:eastAsia="Arial" w:hAnsi="Arial" w:cs="Arial"/>
          <w:sz w:val="20"/>
          <w:szCs w:val="20"/>
        </w:rPr>
        <w:t>Estructuras físicas que permiten el acceso o entrada a fincas, haciendas o campos, las cuales se encuentran localizadas dentro del perímetro rural de la población.</w:t>
      </w:r>
    </w:p>
    <w:p w14:paraId="589B2C73" w14:textId="77777777" w:rsidR="001763FE" w:rsidRDefault="001763FE">
      <w:pPr>
        <w:pBdr>
          <w:top w:val="nil"/>
          <w:left w:val="nil"/>
          <w:bottom w:val="nil"/>
          <w:right w:val="nil"/>
          <w:between w:val="nil"/>
        </w:pBdr>
        <w:ind w:left="720"/>
        <w:rPr>
          <w:rFonts w:ascii="Arial" w:eastAsia="Arial" w:hAnsi="Arial" w:cs="Arial"/>
          <w:color w:val="000000"/>
          <w:sz w:val="20"/>
          <w:szCs w:val="20"/>
        </w:rPr>
      </w:pPr>
    </w:p>
    <w:p w14:paraId="54052AC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Vías Urbanas: </w:t>
      </w:r>
      <w:r>
        <w:rPr>
          <w:rFonts w:ascii="Arial" w:eastAsia="Arial" w:hAnsi="Arial" w:cs="Arial"/>
          <w:sz w:val="20"/>
          <w:szCs w:val="20"/>
        </w:rPr>
        <w:t>Calles, carreras, transversales, avenidas, diagonales, glorietas, autopistas, troncales, variantes, o a la denominación establecida según la nomenclatura de la población correspondiente, las cuales se encuentran localizadas dentro de su perímetro urbano.</w:t>
      </w:r>
    </w:p>
    <w:p w14:paraId="6547809D" w14:textId="77777777" w:rsidR="001763FE" w:rsidRDefault="001763FE">
      <w:pPr>
        <w:spacing w:after="0" w:line="240" w:lineRule="auto"/>
        <w:ind w:left="709"/>
        <w:jc w:val="both"/>
        <w:rPr>
          <w:rFonts w:ascii="Arial" w:eastAsia="Arial" w:hAnsi="Arial" w:cs="Arial"/>
          <w:b/>
          <w:sz w:val="20"/>
          <w:szCs w:val="20"/>
        </w:rPr>
      </w:pPr>
    </w:p>
    <w:p w14:paraId="031E0332" w14:textId="77777777" w:rsidR="001763FE" w:rsidRDefault="00000000">
      <w:pPr>
        <w:spacing w:after="0" w:line="240" w:lineRule="auto"/>
        <w:ind w:left="709"/>
        <w:jc w:val="both"/>
        <w:rPr>
          <w:rFonts w:ascii="Arial" w:eastAsia="Arial" w:hAnsi="Arial" w:cs="Arial"/>
          <w:sz w:val="20"/>
          <w:szCs w:val="20"/>
        </w:rPr>
      </w:pPr>
      <w:r>
        <w:rPr>
          <w:rFonts w:ascii="Arial" w:eastAsia="Arial" w:hAnsi="Arial" w:cs="Arial"/>
          <w:b/>
          <w:sz w:val="20"/>
          <w:szCs w:val="20"/>
        </w:rPr>
        <w:t xml:space="preserve">Nota: </w:t>
      </w:r>
      <w:r>
        <w:rPr>
          <w:rFonts w:ascii="Arial" w:eastAsia="Arial" w:hAnsi="Arial" w:cs="Arial"/>
          <w:sz w:val="20"/>
          <w:szCs w:val="20"/>
        </w:rPr>
        <w:t>Para proyectos de infraestructura vial que se hayan construido fuera del territorio nacional, se consideran Vías Urbanas aquellas que sean certificadas por la entidad contratante mediante alguno de los documentos válidos establecidos en el presente pliego de condiciones para la acreditación de la experiencia, donde se indique que el ancho de calzada es mayor o igual a siete (7.0) metros, o que se acrediten tres o más carriles vehiculares por calzada.</w:t>
      </w:r>
    </w:p>
    <w:p w14:paraId="316D47D1" w14:textId="77777777" w:rsidR="001763FE" w:rsidRDefault="001763FE">
      <w:pPr>
        <w:spacing w:after="0" w:line="240" w:lineRule="auto"/>
        <w:ind w:left="360"/>
        <w:jc w:val="both"/>
        <w:rPr>
          <w:rFonts w:ascii="Arial" w:eastAsia="Arial" w:hAnsi="Arial" w:cs="Arial"/>
          <w:sz w:val="20"/>
          <w:szCs w:val="20"/>
        </w:rPr>
      </w:pPr>
    </w:p>
    <w:p w14:paraId="4868EEAD"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Vías Vehiculares: </w:t>
      </w:r>
      <w:r>
        <w:rPr>
          <w:rFonts w:ascii="Arial" w:eastAsia="Arial" w:hAnsi="Arial" w:cs="Arial"/>
          <w:sz w:val="20"/>
          <w:szCs w:val="20"/>
        </w:rPr>
        <w:t>Franja de uso público o privado, abierta al público, destinada al tránsito de vehículos automotores a partir de dos ruedas, tales como carros, buses, camiones, Motocicleta, Motocarro, Mototriciclo, cuatrimotos, grúas, autobuses, entre otros, y sirve generalmente para el transporte de personas o bienes o para tracción vial de otros vehículos.</w:t>
      </w:r>
    </w:p>
    <w:p w14:paraId="7C9933D7" w14:textId="77777777" w:rsidR="001763FE" w:rsidRDefault="001763FE">
      <w:pPr>
        <w:spacing w:after="0" w:line="240" w:lineRule="auto"/>
        <w:jc w:val="both"/>
        <w:rPr>
          <w:rFonts w:ascii="Arial" w:eastAsia="Arial" w:hAnsi="Arial" w:cs="Arial"/>
          <w:b/>
          <w:sz w:val="20"/>
          <w:szCs w:val="20"/>
        </w:rPr>
      </w:pPr>
    </w:p>
    <w:p w14:paraId="1C66CCDF"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Vías Veredales: </w:t>
      </w:r>
      <w:r>
        <w:rPr>
          <w:rFonts w:ascii="Arial" w:eastAsia="Arial" w:hAnsi="Arial" w:cs="Arial"/>
          <w:sz w:val="20"/>
          <w:szCs w:val="20"/>
        </w:rPr>
        <w:t>Para el presente proceso se entiende por vías veredales las que permiten el acceso o entrada a veredas, las cuales se encuentran localizadas dentro del perímetro rural de la población.</w:t>
      </w:r>
    </w:p>
    <w:p w14:paraId="2ECE53F7" w14:textId="77777777" w:rsidR="001763FE" w:rsidRDefault="001763FE">
      <w:pPr>
        <w:spacing w:after="0" w:line="240" w:lineRule="auto"/>
        <w:ind w:left="720"/>
        <w:jc w:val="both"/>
        <w:rPr>
          <w:rFonts w:ascii="Arial" w:eastAsia="Arial" w:hAnsi="Arial" w:cs="Arial"/>
          <w:b/>
          <w:sz w:val="20"/>
          <w:szCs w:val="20"/>
        </w:rPr>
      </w:pPr>
    </w:p>
    <w:p w14:paraId="3C77F31D"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Vicio de la Construcción:</w:t>
      </w:r>
      <w:r>
        <w:rPr>
          <w:rFonts w:ascii="Arial" w:eastAsia="Arial" w:hAnsi="Arial" w:cs="Arial"/>
          <w:sz w:val="20"/>
          <w:szCs w:val="20"/>
        </w:rPr>
        <w:t xml:space="preserve"> Fallas generadas en los diseños o planos estructurales y/o el proceso constructivo de la estructura de la edificación, entendida como unidad estructuralmente independiente, que eventualmente pueden impedir su habitabilidad u ocupación debido al riesgo de pérdida de vidas.  </w:t>
      </w:r>
    </w:p>
    <w:p w14:paraId="60B664D8" w14:textId="77777777" w:rsidR="001763FE" w:rsidRDefault="001763FE">
      <w:pPr>
        <w:spacing w:after="0" w:line="240" w:lineRule="auto"/>
        <w:ind w:left="720"/>
        <w:jc w:val="both"/>
        <w:rPr>
          <w:rFonts w:ascii="Arial" w:eastAsia="Arial" w:hAnsi="Arial" w:cs="Arial"/>
          <w:b/>
          <w:sz w:val="20"/>
          <w:szCs w:val="20"/>
        </w:rPr>
      </w:pPr>
    </w:p>
    <w:p w14:paraId="50478CF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Vicio de los Materiales: </w:t>
      </w:r>
      <w:r>
        <w:rPr>
          <w:rFonts w:ascii="Arial" w:eastAsia="Arial" w:hAnsi="Arial" w:cs="Arial"/>
          <w:sz w:val="20"/>
          <w:szCs w:val="20"/>
        </w:rPr>
        <w:t xml:space="preserve">Fallas o defectos de los materiales utilizados en el proceso constructivo de la edificación, entendida como unidad estructuralmente independiente, que eventualmente pueden impedir su habitabilidad u ocupación debido al riesgo de pérdida de vidas.  </w:t>
      </w:r>
    </w:p>
    <w:p w14:paraId="63F86335" w14:textId="77777777" w:rsidR="001763FE" w:rsidRDefault="001763FE">
      <w:pPr>
        <w:spacing w:after="0" w:line="240" w:lineRule="auto"/>
        <w:ind w:left="720"/>
        <w:jc w:val="both"/>
        <w:rPr>
          <w:rFonts w:ascii="Arial" w:eastAsia="Arial" w:hAnsi="Arial" w:cs="Arial"/>
          <w:b/>
          <w:sz w:val="20"/>
          <w:szCs w:val="20"/>
        </w:rPr>
      </w:pPr>
    </w:p>
    <w:p w14:paraId="4B02C2EB"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 xml:space="preserve">Vicio del Suelo: </w:t>
      </w:r>
      <w:r>
        <w:rPr>
          <w:rFonts w:ascii="Arial" w:eastAsia="Arial" w:hAnsi="Arial" w:cs="Arial"/>
          <w:sz w:val="20"/>
          <w:szCs w:val="20"/>
        </w:rPr>
        <w:t xml:space="preserve">Fallas generadas en el suelo y/o en la construcción de la cimentación de la edificación, entendida como unidad estructuralmente independiente que propiciaron asentamientos diferenciales o totales que exceden los límites permitidos por el Título H del Reglamento NSR-10 y que eventualmente pueden impedir la habitabilidad u ocupación de la edificación debido al riesgo de pérdida de vidas.  </w:t>
      </w:r>
    </w:p>
    <w:p w14:paraId="43FC82F8" w14:textId="77777777" w:rsidR="001763FE" w:rsidRDefault="001763FE">
      <w:pPr>
        <w:spacing w:after="0" w:line="240" w:lineRule="auto"/>
        <w:ind w:left="720"/>
        <w:jc w:val="both"/>
        <w:rPr>
          <w:rFonts w:ascii="Arial" w:eastAsia="Arial" w:hAnsi="Arial" w:cs="Arial"/>
          <w:b/>
          <w:sz w:val="20"/>
          <w:szCs w:val="20"/>
        </w:rPr>
      </w:pPr>
    </w:p>
    <w:p w14:paraId="49393684"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lastRenderedPageBreak/>
        <w:t xml:space="preserve">Zona de Amenaza Sísmica (baja, intermedia o alta): </w:t>
      </w:r>
      <w:r>
        <w:rPr>
          <w:rFonts w:ascii="Arial" w:eastAsia="Arial" w:hAnsi="Arial" w:cs="Arial"/>
          <w:sz w:val="20"/>
          <w:szCs w:val="20"/>
        </w:rPr>
        <w:t xml:space="preserve">Regiones del país donde la amenaza sísmica se considera baja, intermedia o alta, tal como define la NSR-10 en el literal A.2.3. Los requisitos de análisis y diseño estructural varían de una zona a otra. </w:t>
      </w:r>
    </w:p>
    <w:p w14:paraId="32ED384D" w14:textId="77777777" w:rsidR="001763FE" w:rsidRDefault="001763FE">
      <w:pPr>
        <w:spacing w:after="0" w:line="240" w:lineRule="auto"/>
        <w:ind w:left="720"/>
        <w:jc w:val="both"/>
        <w:rPr>
          <w:b/>
        </w:rPr>
      </w:pPr>
    </w:p>
    <w:p w14:paraId="5195AD5A"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rPr>
        <w:t>Zona Verde:</w:t>
      </w:r>
      <w:r>
        <w:rPr>
          <w:rFonts w:ascii="Arial" w:eastAsia="Arial" w:hAnsi="Arial" w:cs="Arial"/>
          <w:sz w:val="20"/>
          <w:szCs w:val="20"/>
        </w:rPr>
        <w:t xml:space="preserve"> Espacio de carácter permanente, abierto y empradizado, de dominio o uso público, que hace parte del espacio público efectivo y destinado al uso recreativo.  </w:t>
      </w:r>
    </w:p>
    <w:p w14:paraId="76282531" w14:textId="77777777" w:rsidR="001763FE" w:rsidRDefault="001763FE">
      <w:pPr>
        <w:spacing w:after="0" w:line="240" w:lineRule="auto"/>
        <w:ind w:left="709"/>
        <w:jc w:val="both"/>
        <w:rPr>
          <w:b/>
        </w:rPr>
      </w:pPr>
    </w:p>
    <w:p w14:paraId="7D27BE49"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highlight w:val="white"/>
        </w:rPr>
        <w:t>Zonas de Recreación Activa: </w:t>
      </w:r>
      <w:r>
        <w:rPr>
          <w:rFonts w:ascii="Arial" w:eastAsia="Arial" w:hAnsi="Arial" w:cs="Arial"/>
          <w:sz w:val="20"/>
          <w:szCs w:val="20"/>
          <w:highlight w:val="white"/>
        </w:rPr>
        <w:t>Alberga principalmente actividades deportivas o que impliquen actividad física continua. Pueden ser espacios con especificaciones reglamentarias para la práctica de algún deporte específico o ser flexibles y no regladas para la apropiación por parte del usuario.</w:t>
      </w:r>
    </w:p>
    <w:p w14:paraId="78BBEF87" w14:textId="77777777" w:rsidR="001763FE" w:rsidRDefault="001763FE">
      <w:pPr>
        <w:spacing w:after="0" w:line="240" w:lineRule="auto"/>
        <w:ind w:left="720"/>
        <w:jc w:val="both"/>
        <w:rPr>
          <w:b/>
        </w:rPr>
      </w:pPr>
    </w:p>
    <w:p w14:paraId="5CE0F55E" w14:textId="77777777" w:rsidR="001763FE" w:rsidRDefault="00000000">
      <w:pPr>
        <w:numPr>
          <w:ilvl w:val="1"/>
          <w:numId w:val="1"/>
        </w:numPr>
        <w:spacing w:after="0" w:line="240" w:lineRule="auto"/>
        <w:ind w:left="709" w:hanging="709"/>
        <w:jc w:val="both"/>
        <w:rPr>
          <w:rFonts w:ascii="Arial" w:eastAsia="Arial" w:hAnsi="Arial" w:cs="Arial"/>
          <w:b/>
          <w:sz w:val="20"/>
          <w:szCs w:val="20"/>
        </w:rPr>
      </w:pPr>
      <w:r>
        <w:rPr>
          <w:rFonts w:ascii="Arial" w:eastAsia="Arial" w:hAnsi="Arial" w:cs="Arial"/>
          <w:b/>
          <w:sz w:val="20"/>
          <w:szCs w:val="20"/>
          <w:highlight w:val="white"/>
        </w:rPr>
        <w:t>Zonas de Recreación Pasiva:</w:t>
      </w:r>
      <w:r>
        <w:rPr>
          <w:rFonts w:ascii="Arial" w:eastAsia="Arial" w:hAnsi="Arial" w:cs="Arial"/>
          <w:sz w:val="20"/>
          <w:szCs w:val="20"/>
          <w:highlight w:val="white"/>
        </w:rPr>
        <w:t> Brinda espacio a actividades de tipo lúdico o contemplativo, pueden estar ligados a actividades de carácter cultural. Zonas verdes, zonas duras, lagos, miradores, lugar para esculturas, espacios para proyecciones al aire libre.</w:t>
      </w:r>
    </w:p>
    <w:p w14:paraId="3D320392" w14:textId="77777777" w:rsidR="001763FE" w:rsidRDefault="001763FE"/>
    <w:sectPr w:rsidR="001763FE">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DF4BE3" w14:textId="77777777" w:rsidR="001B19C8" w:rsidRDefault="001B19C8">
      <w:pPr>
        <w:spacing w:after="0" w:line="240" w:lineRule="auto"/>
      </w:pPr>
      <w:r>
        <w:separator/>
      </w:r>
    </w:p>
  </w:endnote>
  <w:endnote w:type="continuationSeparator" w:id="0">
    <w:p w14:paraId="77730C19" w14:textId="77777777" w:rsidR="001B19C8" w:rsidRDefault="001B19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B19557F-DBAA-D84F-BAB6-F826485DD162}"/>
    <w:embedBold r:id="rId2" w:fontKey="{78357BB2-504A-0F4C-9842-0B6FA8A23FAE}"/>
  </w:font>
  <w:font w:name="Arial">
    <w:panose1 w:val="020B0604020202020204"/>
    <w:charset w:val="00"/>
    <w:family w:val="swiss"/>
    <w:pitch w:val="variable"/>
    <w:sig w:usb0="E0002AFF" w:usb1="C0007843" w:usb2="00000009" w:usb3="00000000" w:csb0="000001FF" w:csb1="00000000"/>
    <w:embedRegular r:id="rId3" w:fontKey="{A888B024-56E0-EA4B-8432-467581B994CD}"/>
    <w:embedBold r:id="rId4" w:fontKey="{C493705E-A8B0-2F45-A96E-FF13CF2F91D9}"/>
  </w:font>
  <w:font w:name="Courier New">
    <w:panose1 w:val="02070309020205020404"/>
    <w:charset w:val="00"/>
    <w:family w:val="modern"/>
    <w:pitch w:val="fixed"/>
    <w:sig w:usb0="E0002AFF" w:usb1="C0007843" w:usb2="00000009" w:usb3="00000000" w:csb0="000001FF" w:csb1="00000000"/>
    <w:embedRegular r:id="rId5" w:fontKey="{7774184B-6DF5-DF43-A4F7-BA5894ACB090}"/>
  </w:font>
  <w:font w:name="Noto Sans Symbols">
    <w:panose1 w:val="020B0604020202020204"/>
    <w:charset w:val="00"/>
    <w:family w:val="auto"/>
    <w:pitch w:val="default"/>
    <w:embedRegular r:id="rId6" w:fontKey="{C787132A-F85E-534A-8870-62CD43B6F673}"/>
  </w:font>
  <w:font w:name="Calibri">
    <w:panose1 w:val="020F0502020204030204"/>
    <w:charset w:val="00"/>
    <w:family w:val="swiss"/>
    <w:pitch w:val="variable"/>
    <w:sig w:usb0="E0002AFF" w:usb1="C000247B" w:usb2="00000009" w:usb3="00000000" w:csb0="000001FF" w:csb1="00000000"/>
    <w:embedRegular r:id="rId7" w:fontKey="{A6EC3BB7-2770-9448-843C-DAA858AA6C10}"/>
    <w:embedBold r:id="rId8" w:fontKey="{DB82B8C6-CAD3-5E46-B532-5A8A6A18CA5D}"/>
  </w:font>
  <w:font w:name="MS PGothic">
    <w:panose1 w:val="020B0600070205080204"/>
    <w:charset w:val="00"/>
    <w:family w:val="roman"/>
    <w:notTrueType/>
    <w:pitch w:val="default"/>
    <w:embedBold r:id="rId9" w:fontKey="{5DFF1317-506D-084C-ABA4-6215D9960FD7}"/>
  </w:font>
  <w:font w:name="Arial Narrow">
    <w:panose1 w:val="020B0606020202030204"/>
    <w:charset w:val="00"/>
    <w:family w:val="swiss"/>
    <w:pitch w:val="variable"/>
    <w:sig w:usb0="00000287" w:usb1="00000800" w:usb2="00000000" w:usb3="00000000" w:csb0="0000009F" w:csb1="00000000"/>
    <w:embedRegular r:id="rId10" w:fontKey="{5C001875-6EA1-694F-B8F7-ECD1F9ADCCBA}"/>
  </w:font>
  <w:font w:name="Calibri Light">
    <w:panose1 w:val="020F0302020204030204"/>
    <w:charset w:val="00"/>
    <w:family w:val="modern"/>
    <w:pitch w:val="variable"/>
    <w:sig w:usb0="00000003" w:usb1="00000000" w:usb2="00000000" w:usb3="00000000" w:csb0="00000001" w:csb1="00000000"/>
    <w:embedRegular r:id="rId11" w:fontKey="{981269F5-9A11-544B-A144-BEE924A7AF6D}"/>
  </w:font>
  <w:font w:name="Georgia">
    <w:panose1 w:val="02040502050405020303"/>
    <w:charset w:val="00"/>
    <w:family w:val="roman"/>
    <w:pitch w:val="variable"/>
    <w:sig w:usb0="00000287" w:usb1="00000000" w:usb2="00000000" w:usb3="00000000" w:csb0="0000009F" w:csb1="00000000"/>
    <w:embedRegular r:id="rId12" w:fontKey="{E6A564D1-1CC9-5041-BF05-634A417F9F1A}"/>
    <w:embedItalic r:id="rId13" w:fontKey="{BE464A47-6E39-BF45-AB22-B45FC5EB27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DADA9" w14:textId="77777777" w:rsidR="001763FE" w:rsidRDefault="001763FE">
    <w:pPr>
      <w:widowControl w:val="0"/>
      <w:pBdr>
        <w:top w:val="nil"/>
        <w:left w:val="nil"/>
        <w:bottom w:val="nil"/>
        <w:right w:val="nil"/>
        <w:between w:val="nil"/>
      </w:pBdr>
      <w:spacing w:after="0" w:line="276" w:lineRule="auto"/>
      <w:rPr>
        <w:color w:val="000000"/>
      </w:rPr>
    </w:pPr>
  </w:p>
  <w:tbl>
    <w:tblPr>
      <w:tblStyle w:val="a0"/>
      <w:tblW w:w="3884"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67"/>
      <w:gridCol w:w="1862"/>
      <w:gridCol w:w="950"/>
      <w:gridCol w:w="305"/>
    </w:tblGrid>
    <w:tr w:rsidR="001763FE" w14:paraId="2EEA3FA9" w14:textId="77777777">
      <w:trPr>
        <w:trHeight w:val="220"/>
      </w:trPr>
      <w:tc>
        <w:tcPr>
          <w:tcW w:w="767" w:type="dxa"/>
          <w:tcBorders>
            <w:top w:val="dotted" w:sz="4" w:space="0" w:color="000000"/>
            <w:left w:val="dotted" w:sz="4" w:space="0" w:color="000000"/>
            <w:bottom w:val="dotted" w:sz="4" w:space="0" w:color="000000"/>
            <w:right w:val="dotted" w:sz="4" w:space="0" w:color="000000"/>
          </w:tcBorders>
          <w:vAlign w:val="center"/>
        </w:tcPr>
        <w:p w14:paraId="622BF55F" w14:textId="77777777" w:rsidR="001763FE" w:rsidRDefault="00000000">
          <w:pPr>
            <w:spacing w:after="4" w:line="246" w:lineRule="auto"/>
            <w:ind w:left="10" w:hanging="10"/>
            <w:rPr>
              <w:rFonts w:ascii="Arial" w:eastAsia="Arial" w:hAnsi="Arial" w:cs="Arial"/>
              <w:b/>
              <w:sz w:val="16"/>
              <w:szCs w:val="16"/>
            </w:rPr>
          </w:pPr>
          <w:r>
            <w:rPr>
              <w:rFonts w:ascii="Arial" w:eastAsia="Arial" w:hAnsi="Arial" w:cs="Arial"/>
              <w:b/>
              <w:sz w:val="16"/>
              <w:szCs w:val="16"/>
            </w:rPr>
            <w:t>Código</w:t>
          </w:r>
        </w:p>
      </w:tc>
      <w:tc>
        <w:tcPr>
          <w:tcW w:w="1862" w:type="dxa"/>
          <w:tcBorders>
            <w:top w:val="dotted" w:sz="4" w:space="0" w:color="000000"/>
            <w:left w:val="dotted" w:sz="4" w:space="0" w:color="000000"/>
            <w:bottom w:val="dotted" w:sz="4" w:space="0" w:color="000000"/>
            <w:right w:val="dotted" w:sz="4" w:space="0" w:color="000000"/>
          </w:tcBorders>
          <w:vAlign w:val="center"/>
        </w:tcPr>
        <w:p w14:paraId="4B713A91" w14:textId="77777777" w:rsidR="001763FE" w:rsidRDefault="00000000">
          <w:pPr>
            <w:spacing w:after="4" w:line="246" w:lineRule="auto"/>
            <w:ind w:left="10" w:hanging="10"/>
            <w:rPr>
              <w:rFonts w:ascii="Arial" w:eastAsia="Arial" w:hAnsi="Arial" w:cs="Arial"/>
              <w:sz w:val="16"/>
              <w:szCs w:val="16"/>
            </w:rPr>
          </w:pPr>
          <w:r>
            <w:rPr>
              <w:rFonts w:ascii="Arial" w:eastAsia="Arial" w:hAnsi="Arial" w:cs="Arial"/>
              <w:sz w:val="16"/>
              <w:szCs w:val="16"/>
            </w:rPr>
            <w:t>CCE-EICP-IDI-38</w:t>
          </w:r>
        </w:p>
      </w:tc>
      <w:tc>
        <w:tcPr>
          <w:tcW w:w="950" w:type="dxa"/>
          <w:tcBorders>
            <w:top w:val="dotted" w:sz="4" w:space="0" w:color="000000"/>
            <w:left w:val="dotted" w:sz="4" w:space="0" w:color="000000"/>
            <w:bottom w:val="dotted" w:sz="4" w:space="0" w:color="000000"/>
            <w:right w:val="dotted" w:sz="4" w:space="0" w:color="000000"/>
          </w:tcBorders>
          <w:vAlign w:val="center"/>
        </w:tcPr>
        <w:p w14:paraId="51E0AC95" w14:textId="77777777" w:rsidR="001763FE" w:rsidRDefault="00000000">
          <w:pPr>
            <w:spacing w:after="4" w:line="246" w:lineRule="auto"/>
            <w:ind w:left="10" w:hanging="10"/>
            <w:jc w:val="center"/>
            <w:rPr>
              <w:rFonts w:ascii="Arial" w:eastAsia="Arial" w:hAnsi="Arial" w:cs="Arial"/>
              <w:b/>
              <w:sz w:val="16"/>
              <w:szCs w:val="16"/>
            </w:rPr>
          </w:pPr>
          <w:r>
            <w:rPr>
              <w:rFonts w:ascii="Arial" w:eastAsia="Arial" w:hAnsi="Arial" w:cs="Arial"/>
              <w:b/>
              <w:sz w:val="16"/>
              <w:szCs w:val="16"/>
            </w:rPr>
            <w:t>Versión</w:t>
          </w:r>
        </w:p>
      </w:tc>
      <w:tc>
        <w:tcPr>
          <w:tcW w:w="305" w:type="dxa"/>
          <w:tcBorders>
            <w:top w:val="dotted" w:sz="4" w:space="0" w:color="000000"/>
            <w:left w:val="dotted" w:sz="4" w:space="0" w:color="000000"/>
            <w:bottom w:val="dotted" w:sz="4" w:space="0" w:color="000000"/>
            <w:right w:val="dotted" w:sz="4" w:space="0" w:color="000000"/>
          </w:tcBorders>
          <w:vAlign w:val="center"/>
        </w:tcPr>
        <w:p w14:paraId="3349BD27" w14:textId="77777777" w:rsidR="001763FE" w:rsidRDefault="00000000">
          <w:pPr>
            <w:spacing w:after="4" w:line="246" w:lineRule="auto"/>
            <w:ind w:left="10" w:hanging="10"/>
            <w:rPr>
              <w:rFonts w:ascii="Arial" w:eastAsia="Arial" w:hAnsi="Arial" w:cs="Arial"/>
              <w:sz w:val="16"/>
              <w:szCs w:val="16"/>
            </w:rPr>
          </w:pPr>
          <w:r>
            <w:rPr>
              <w:rFonts w:ascii="Arial" w:eastAsia="Arial" w:hAnsi="Arial" w:cs="Arial"/>
              <w:sz w:val="16"/>
              <w:szCs w:val="16"/>
            </w:rPr>
            <w:t>1</w:t>
          </w:r>
        </w:p>
      </w:tc>
    </w:tr>
  </w:tbl>
  <w:p w14:paraId="6B98FC9A" w14:textId="77777777" w:rsidR="001763FE" w:rsidRDefault="001763FE">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1D656C" w14:textId="77777777" w:rsidR="001B19C8" w:rsidRDefault="001B19C8">
      <w:pPr>
        <w:spacing w:after="0" w:line="240" w:lineRule="auto"/>
      </w:pPr>
      <w:r>
        <w:separator/>
      </w:r>
    </w:p>
  </w:footnote>
  <w:footnote w:type="continuationSeparator" w:id="0">
    <w:p w14:paraId="2AB0C464" w14:textId="77777777" w:rsidR="001B19C8" w:rsidRDefault="001B19C8">
      <w:pPr>
        <w:spacing w:after="0" w:line="240" w:lineRule="auto"/>
      </w:pPr>
      <w:r>
        <w:continuationSeparator/>
      </w:r>
    </w:p>
  </w:footnote>
  <w:footnote w:id="1">
    <w:p w14:paraId="563357A5" w14:textId="77777777" w:rsidR="001763F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vertAlign w:val="superscript"/>
        </w:rPr>
        <w:footnoteRef/>
      </w:r>
      <w:r>
        <w:rPr>
          <w:rFonts w:ascii="Arial" w:eastAsia="Arial" w:hAnsi="Arial" w:cs="Arial"/>
          <w:color w:val="000000"/>
          <w:sz w:val="16"/>
          <w:szCs w:val="16"/>
        </w:rPr>
        <w:t xml:space="preserve"> Artículo 1 de la Ley 397 de 1997.</w:t>
      </w:r>
    </w:p>
  </w:footnote>
  <w:footnote w:id="2">
    <w:p w14:paraId="0AB64902" w14:textId="77777777" w:rsidR="001763F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vertAlign w:val="superscript"/>
        </w:rPr>
        <w:footnoteRef/>
      </w:r>
      <w:r>
        <w:rPr>
          <w:rFonts w:ascii="Arial" w:eastAsia="Arial" w:hAnsi="Arial" w:cs="Arial"/>
          <w:color w:val="000000"/>
          <w:sz w:val="16"/>
          <w:szCs w:val="16"/>
        </w:rPr>
        <w:t xml:space="preserve"> Artículo 2 de la Ley 1356 de 2009.</w:t>
      </w:r>
    </w:p>
  </w:footnote>
  <w:footnote w:id="3">
    <w:p w14:paraId="0E1B9311" w14:textId="77777777" w:rsidR="001763F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vertAlign w:val="superscript"/>
        </w:rPr>
        <w:footnoteRef/>
      </w:r>
      <w:r>
        <w:rPr>
          <w:rFonts w:ascii="Arial" w:eastAsia="Arial" w:hAnsi="Arial" w:cs="Arial"/>
          <w:color w:val="000000"/>
          <w:sz w:val="20"/>
          <w:szCs w:val="20"/>
        </w:rPr>
        <w:t xml:space="preserve"> </w:t>
      </w:r>
      <w:r>
        <w:rPr>
          <w:rFonts w:ascii="Arial" w:eastAsia="Arial" w:hAnsi="Arial" w:cs="Arial"/>
          <w:color w:val="000000"/>
          <w:sz w:val="16"/>
          <w:szCs w:val="16"/>
        </w:rPr>
        <w:t>Definición tomada de la «Guía general para la planeación, formulación, ejecución, y operación de proyectos de infraestructura cultural», Ministerio de Cultura, Primera Edición, Año 2011.</w:t>
      </w:r>
      <w:r>
        <w:rPr>
          <w:rFonts w:ascii="Arial" w:eastAsia="Arial" w:hAnsi="Arial" w:cs="Arial"/>
          <w:color w:val="000000"/>
          <w:sz w:val="20"/>
          <w:szCs w:val="20"/>
        </w:rPr>
        <w:t xml:space="preserve"> </w:t>
      </w:r>
    </w:p>
  </w:footnote>
  <w:footnote w:id="4">
    <w:p w14:paraId="52E5B5A3" w14:textId="77777777" w:rsidR="001763FE" w:rsidRDefault="00000000">
      <w:pPr>
        <w:pBdr>
          <w:top w:val="nil"/>
          <w:left w:val="nil"/>
          <w:bottom w:val="nil"/>
          <w:right w:val="nil"/>
          <w:between w:val="nil"/>
        </w:pBdr>
        <w:spacing w:after="0" w:line="240" w:lineRule="auto"/>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Artículo 2.2.6.1.1.7. del Decreto 1077 de 2015.</w:t>
      </w:r>
    </w:p>
  </w:footnote>
  <w:footnote w:id="5">
    <w:p w14:paraId="51760C79" w14:textId="77777777" w:rsidR="001763F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vertAlign w:val="superscript"/>
        </w:rPr>
        <w:footnoteRef/>
      </w:r>
      <w:r>
        <w:rPr>
          <w:rFonts w:ascii="Arial" w:eastAsia="Arial" w:hAnsi="Arial" w:cs="Arial"/>
          <w:color w:val="000000"/>
          <w:sz w:val="16"/>
          <w:szCs w:val="16"/>
        </w:rPr>
        <w:t xml:space="preserve"> Artículo 2.2.6.1.1.10 del Decreto Único Reglamentario 1077 de 2015.</w:t>
      </w:r>
    </w:p>
  </w:footnote>
  <w:footnote w:id="6">
    <w:p w14:paraId="38C96B21" w14:textId="77777777" w:rsidR="001763F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vertAlign w:val="superscript"/>
        </w:rPr>
        <w:footnoteRef/>
      </w:r>
      <w:r>
        <w:rPr>
          <w:rFonts w:ascii="Arial" w:eastAsia="Arial" w:hAnsi="Arial" w:cs="Arial"/>
          <w:color w:val="000000"/>
          <w:sz w:val="16"/>
          <w:szCs w:val="16"/>
        </w:rPr>
        <w:t xml:space="preserve"> Artículo 2.2.1.1. del Decreto 1080 de 2015. </w:t>
      </w:r>
    </w:p>
  </w:footnote>
  <w:footnote w:id="7">
    <w:p w14:paraId="221F9D6B" w14:textId="77777777" w:rsidR="001763F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vertAlign w:val="superscript"/>
        </w:rPr>
        <w:footnoteRef/>
      </w:r>
      <w:r>
        <w:rPr>
          <w:rFonts w:ascii="Arial" w:eastAsia="Arial" w:hAnsi="Arial" w:cs="Arial"/>
          <w:color w:val="000000"/>
          <w:sz w:val="16"/>
          <w:szCs w:val="16"/>
        </w:rPr>
        <w:t xml:space="preserve"> Adaptado de: https://www.st-tasacion.es/es/herramientas/glosario/que-es-el-urbanismo.html</w:t>
      </w:r>
    </w:p>
  </w:footnote>
  <w:footnote w:id="8">
    <w:p w14:paraId="31E6CFD7" w14:textId="77777777" w:rsidR="001763F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vertAlign w:val="superscript"/>
        </w:rPr>
        <w:footnoteRef/>
      </w:r>
      <w:r>
        <w:rPr>
          <w:rFonts w:ascii="Arial" w:eastAsia="Arial" w:hAnsi="Arial" w:cs="Arial"/>
          <w:color w:val="000000"/>
          <w:sz w:val="16"/>
          <w:szCs w:val="16"/>
        </w:rPr>
        <w:t xml:space="preserve"> Literal j del numeral 2.1.2. del Decreto 2090 de 1989.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59A22" w14:textId="77777777" w:rsidR="001763FE" w:rsidRDefault="001763FE">
    <w:pPr>
      <w:widowControl w:val="0"/>
      <w:pBdr>
        <w:top w:val="nil"/>
        <w:left w:val="nil"/>
        <w:bottom w:val="nil"/>
        <w:right w:val="nil"/>
        <w:between w:val="nil"/>
      </w:pBdr>
      <w:spacing w:after="0" w:line="276" w:lineRule="auto"/>
      <w:rPr>
        <w:rFonts w:ascii="Arial" w:eastAsia="Arial" w:hAnsi="Arial" w:cs="Arial"/>
        <w:color w:val="000000"/>
        <w:sz w:val="20"/>
        <w:szCs w:val="20"/>
      </w:rPr>
    </w:pPr>
  </w:p>
  <w:tbl>
    <w:tblPr>
      <w:tblStyle w:val="a"/>
      <w:tblW w:w="8653" w:type="dxa"/>
      <w:jc w:val="center"/>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8653"/>
    </w:tblGrid>
    <w:tr w:rsidR="001763FE" w14:paraId="09AA2589" w14:textId="77777777">
      <w:trPr>
        <w:trHeight w:val="146"/>
        <w:jc w:val="center"/>
      </w:trPr>
      <w:tc>
        <w:tcPr>
          <w:tcW w:w="8653" w:type="dxa"/>
          <w:vAlign w:val="center"/>
        </w:tcPr>
        <w:p w14:paraId="4586DDE6" w14:textId="77777777" w:rsidR="001763FE" w:rsidRDefault="00000000">
          <w:pPr>
            <w:tabs>
              <w:tab w:val="center" w:pos="4419"/>
              <w:tab w:val="right" w:pos="8838"/>
            </w:tabs>
            <w:jc w:val="center"/>
            <w:rPr>
              <w:rFonts w:ascii="Arial" w:eastAsia="Arial" w:hAnsi="Arial" w:cs="Arial"/>
              <w:b/>
              <w:sz w:val="16"/>
              <w:szCs w:val="16"/>
            </w:rPr>
          </w:pPr>
          <w:r>
            <w:rPr>
              <w:rFonts w:ascii="Arial" w:eastAsia="Arial" w:hAnsi="Arial" w:cs="Arial"/>
              <w:b/>
              <w:sz w:val="16"/>
              <w:szCs w:val="16"/>
            </w:rPr>
            <w:t>ANEXO – GLOSARIO</w:t>
          </w:r>
        </w:p>
        <w:p w14:paraId="61FB8856" w14:textId="77777777" w:rsidR="001763FE" w:rsidRDefault="001763FE">
          <w:pPr>
            <w:tabs>
              <w:tab w:val="center" w:pos="4419"/>
              <w:tab w:val="right" w:pos="8838"/>
            </w:tabs>
            <w:jc w:val="center"/>
            <w:rPr>
              <w:rFonts w:ascii="Arial" w:eastAsia="Arial" w:hAnsi="Arial" w:cs="Arial"/>
              <w:b/>
              <w:sz w:val="16"/>
              <w:szCs w:val="16"/>
            </w:rPr>
          </w:pPr>
        </w:p>
      </w:tc>
    </w:tr>
  </w:tbl>
  <w:p w14:paraId="464B1CAC" w14:textId="77777777" w:rsidR="001763FE" w:rsidRDefault="001763FE">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904D91"/>
    <w:multiLevelType w:val="multilevel"/>
    <w:tmpl w:val="A4280D08"/>
    <w:lvl w:ilvl="0">
      <w:start w:val="1"/>
      <w:numFmt w:val="decimal"/>
      <w:lvlText w:val="%1."/>
      <w:lvlJc w:val="left"/>
      <w:pPr>
        <w:ind w:left="360" w:hanging="360"/>
      </w:pPr>
    </w:lvl>
    <w:lvl w:ilvl="1">
      <w:start w:val="1"/>
      <w:numFmt w:val="decimal"/>
      <w:lvlText w:val="%1.%2."/>
      <w:lvlJc w:val="left"/>
      <w:pPr>
        <w:ind w:left="360" w:hanging="360"/>
      </w:pPr>
      <w:rPr>
        <w:b/>
        <w:sz w:val="20"/>
        <w:szCs w:val="20"/>
      </w:rPr>
    </w:lvl>
    <w:lvl w:ilvl="2">
      <w:start w:val="1"/>
      <w:numFmt w:val="decimal"/>
      <w:lvlText w:val="%1.%2.%3."/>
      <w:lvlJc w:val="left"/>
      <w:pPr>
        <w:ind w:left="720" w:hanging="720"/>
      </w:pPr>
      <w:rPr>
        <w:b/>
        <w:sz w:val="20"/>
        <w:szCs w:val="2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6D8C682E"/>
    <w:multiLevelType w:val="multilevel"/>
    <w:tmpl w:val="D716E4E4"/>
    <w:lvl w:ilvl="0">
      <w:numFmt w:val="bullet"/>
      <w:lvlText w:val="-"/>
      <w:lvlJc w:val="left"/>
      <w:pPr>
        <w:ind w:left="1429" w:hanging="360"/>
      </w:pPr>
      <w:rPr>
        <w:rFonts w:ascii="Arial" w:eastAsia="Arial" w:hAnsi="Arial" w:cs="Arial"/>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num w:numId="1" w16cid:durableId="1806390509">
    <w:abstractNumId w:val="0"/>
  </w:num>
  <w:num w:numId="2" w16cid:durableId="4505607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63FE"/>
    <w:rsid w:val="001763FE"/>
    <w:rsid w:val="001A2A4A"/>
    <w:rsid w:val="001B19C8"/>
    <w:rsid w:val="00B940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3BF37ACD"/>
  <w15:docId w15:val="{03A3A67B-E5DE-194D-8216-765A2D9908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1E4A6A"/>
    <w:pPr>
      <w:keepNext/>
      <w:keepLines/>
      <w:spacing w:before="240" w:after="0"/>
      <w:outlineLvl w:val="0"/>
    </w:pPr>
    <w:rPr>
      <w:rFonts w:ascii="Arial" w:eastAsia="MS PGothic" w:hAnsi="Arial" w:cs="Arial"/>
      <w:b/>
      <w:sz w:val="20"/>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1E4A6A"/>
    <w:pPr>
      <w:spacing w:after="0" w:line="240" w:lineRule="auto"/>
      <w:contextualSpacing/>
    </w:pPr>
    <w:rPr>
      <w:rFonts w:ascii="Arial" w:eastAsia="MS PGothic" w:hAnsi="Arial" w:cs="Arial"/>
      <w:b/>
      <w:spacing w:val="-10"/>
      <w:kern w:val="28"/>
      <w:sz w:val="20"/>
      <w:szCs w:val="56"/>
      <w:lang w:val="es-ES"/>
    </w:rPr>
  </w:style>
  <w:style w:type="paragraph" w:customStyle="1" w:styleId="Ttulo11">
    <w:name w:val="Título 11"/>
    <w:basedOn w:val="Normal"/>
    <w:next w:val="Normal"/>
    <w:uiPriority w:val="9"/>
    <w:qFormat/>
    <w:rsid w:val="001E4A6A"/>
    <w:pPr>
      <w:keepNext/>
      <w:keepLines/>
      <w:pBdr>
        <w:bottom w:val="single" w:sz="4" w:space="1" w:color="auto"/>
      </w:pBdr>
      <w:spacing w:after="0" w:line="240" w:lineRule="auto"/>
      <w:jc w:val="both"/>
      <w:outlineLvl w:val="0"/>
    </w:pPr>
    <w:rPr>
      <w:rFonts w:ascii="Arial" w:eastAsia="MS PGothic" w:hAnsi="Arial" w:cs="Arial"/>
      <w:b/>
      <w:sz w:val="20"/>
      <w:szCs w:val="32"/>
    </w:rPr>
  </w:style>
  <w:style w:type="numbering" w:customStyle="1" w:styleId="Sinlista1">
    <w:name w:val="Sin lista1"/>
    <w:next w:val="Sinlista"/>
    <w:uiPriority w:val="99"/>
    <w:semiHidden/>
    <w:unhideWhenUsed/>
    <w:rsid w:val="001E4A6A"/>
  </w:style>
  <w:style w:type="character" w:customStyle="1" w:styleId="Ttulo1Car">
    <w:name w:val="Título 1 Car"/>
    <w:basedOn w:val="Fuentedeprrafopredeter"/>
    <w:link w:val="Ttulo1"/>
    <w:uiPriority w:val="9"/>
    <w:rsid w:val="001E4A6A"/>
    <w:rPr>
      <w:rFonts w:ascii="Arial" w:eastAsia="MS PGothic" w:hAnsi="Arial" w:cs="Arial"/>
      <w:b/>
      <w:sz w:val="20"/>
      <w:szCs w:val="32"/>
    </w:rPr>
  </w:style>
  <w:style w:type="paragraph" w:customStyle="1" w:styleId="h181">
    <w:name w:val="h181"/>
    <w:basedOn w:val="Normal"/>
    <w:next w:val="Encabezado"/>
    <w:link w:val="EncabezadoCar"/>
    <w:uiPriority w:val="99"/>
    <w:unhideWhenUsed/>
    <w:rsid w:val="001E4A6A"/>
    <w:pPr>
      <w:tabs>
        <w:tab w:val="center" w:pos="4419"/>
        <w:tab w:val="right" w:pos="8838"/>
      </w:tabs>
      <w:spacing w:after="0" w:line="240" w:lineRule="auto"/>
      <w:jc w:val="both"/>
    </w:pPr>
    <w:rPr>
      <w:rFonts w:ascii="Arial" w:hAnsi="Arial"/>
      <w:sz w:val="20"/>
      <w:lang w:val="es-ES"/>
    </w:rPr>
  </w:style>
  <w:style w:type="character" w:customStyle="1" w:styleId="EncabezadoCar">
    <w:name w:val="Encabezado Car"/>
    <w:aliases w:val="h Car,h8 Car,h9 Car,h10 Car,h18 Car"/>
    <w:basedOn w:val="Fuentedeprrafopredeter"/>
    <w:link w:val="h181"/>
    <w:uiPriority w:val="99"/>
    <w:rsid w:val="001E4A6A"/>
    <w:rPr>
      <w:rFonts w:ascii="Arial" w:hAnsi="Arial"/>
      <w:sz w:val="20"/>
      <w:lang w:val="es-ES"/>
    </w:rPr>
  </w:style>
  <w:style w:type="paragraph" w:customStyle="1" w:styleId="Piedepgina1">
    <w:name w:val="Pie de página1"/>
    <w:basedOn w:val="Normal"/>
    <w:next w:val="Piedepgina"/>
    <w:link w:val="PiedepginaCar"/>
    <w:uiPriority w:val="99"/>
    <w:unhideWhenUsed/>
    <w:rsid w:val="001E4A6A"/>
    <w:pPr>
      <w:tabs>
        <w:tab w:val="center" w:pos="4419"/>
        <w:tab w:val="right" w:pos="8838"/>
      </w:tabs>
      <w:spacing w:after="0" w:line="240" w:lineRule="auto"/>
      <w:jc w:val="both"/>
    </w:pPr>
    <w:rPr>
      <w:rFonts w:ascii="Arial" w:hAnsi="Arial"/>
      <w:sz w:val="20"/>
      <w:lang w:val="es-ES"/>
    </w:rPr>
  </w:style>
  <w:style w:type="character" w:customStyle="1" w:styleId="PiedepginaCar">
    <w:name w:val="Pie de página Car"/>
    <w:basedOn w:val="Fuentedeprrafopredeter"/>
    <w:link w:val="Piedepgina1"/>
    <w:uiPriority w:val="99"/>
    <w:rsid w:val="001E4A6A"/>
    <w:rPr>
      <w:rFonts w:ascii="Arial" w:hAnsi="Arial"/>
      <w:sz w:val="20"/>
      <w:lang w:val="es-ES"/>
    </w:rPr>
  </w:style>
  <w:style w:type="table" w:customStyle="1" w:styleId="Cuadrculadetablaclara1">
    <w:name w:val="Cuadrícula de tabla clara1"/>
    <w:basedOn w:val="Tablanormal"/>
    <w:next w:val="Tablaconcuadrculaclara"/>
    <w:uiPriority w:val="99"/>
    <w:rsid w:val="001E4A6A"/>
    <w:pPr>
      <w:spacing w:after="0" w:line="240" w:lineRule="auto"/>
    </w:pPr>
    <w:rPr>
      <w:rFonts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clara1">
    <w:name w:val="Tabla con cuadrícula clara1"/>
    <w:basedOn w:val="Tablanormal"/>
    <w:next w:val="Tablaconcuadrculaclara"/>
    <w:uiPriority w:val="40"/>
    <w:rsid w:val="001E4A6A"/>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Ttulo10">
    <w:name w:val="Título1"/>
    <w:basedOn w:val="Normal"/>
    <w:next w:val="Normal"/>
    <w:uiPriority w:val="10"/>
    <w:qFormat/>
    <w:rsid w:val="001E4A6A"/>
    <w:pPr>
      <w:spacing w:after="0" w:line="240" w:lineRule="auto"/>
      <w:contextualSpacing/>
      <w:jc w:val="center"/>
    </w:pPr>
    <w:rPr>
      <w:rFonts w:ascii="Arial" w:eastAsia="MS PGothic" w:hAnsi="Arial" w:cs="Arial"/>
      <w:b/>
      <w:spacing w:val="-10"/>
      <w:kern w:val="28"/>
      <w:sz w:val="20"/>
      <w:szCs w:val="56"/>
      <w:lang w:val="es-ES"/>
    </w:rPr>
  </w:style>
  <w:style w:type="character" w:customStyle="1" w:styleId="TtuloCar">
    <w:name w:val="Título Car"/>
    <w:basedOn w:val="Fuentedeprrafopredeter"/>
    <w:link w:val="Ttulo"/>
    <w:uiPriority w:val="10"/>
    <w:rsid w:val="001E4A6A"/>
    <w:rPr>
      <w:rFonts w:ascii="Arial" w:eastAsia="MS PGothic" w:hAnsi="Arial" w:cs="Arial"/>
      <w:b/>
      <w:spacing w:val="-10"/>
      <w:kern w:val="28"/>
      <w:sz w:val="20"/>
      <w:szCs w:val="56"/>
      <w:lang w:val="es-ES"/>
    </w:rPr>
  </w:style>
  <w:style w:type="paragraph" w:customStyle="1" w:styleId="Prrafodelista1">
    <w:name w:val="Párrafo de lista1"/>
    <w:basedOn w:val="Normal"/>
    <w:next w:val="Prrafodelista"/>
    <w:uiPriority w:val="34"/>
    <w:qFormat/>
    <w:rsid w:val="001E4A6A"/>
    <w:pPr>
      <w:spacing w:after="0" w:line="240" w:lineRule="auto"/>
      <w:ind w:left="720"/>
      <w:contextualSpacing/>
      <w:jc w:val="both"/>
    </w:pPr>
    <w:rPr>
      <w:rFonts w:ascii="Arial" w:hAnsi="Arial"/>
      <w:sz w:val="20"/>
      <w:lang w:val="es-ES"/>
    </w:rPr>
  </w:style>
  <w:style w:type="paragraph" w:customStyle="1" w:styleId="Textonotapie1">
    <w:name w:val="Texto nota pie1"/>
    <w:basedOn w:val="Normal"/>
    <w:next w:val="Textonotapie"/>
    <w:link w:val="TextonotapieCar"/>
    <w:uiPriority w:val="99"/>
    <w:semiHidden/>
    <w:unhideWhenUsed/>
    <w:rsid w:val="001E4A6A"/>
    <w:pPr>
      <w:spacing w:after="0" w:line="240" w:lineRule="auto"/>
      <w:jc w:val="both"/>
    </w:pPr>
    <w:rPr>
      <w:rFonts w:ascii="Arial" w:hAnsi="Arial"/>
      <w:sz w:val="20"/>
      <w:szCs w:val="20"/>
      <w:lang w:val="es-ES"/>
    </w:rPr>
  </w:style>
  <w:style w:type="character" w:customStyle="1" w:styleId="TextonotapieCar">
    <w:name w:val="Texto nota pie Car"/>
    <w:basedOn w:val="Fuentedeprrafopredeter"/>
    <w:link w:val="Textonotapie1"/>
    <w:uiPriority w:val="99"/>
    <w:semiHidden/>
    <w:rsid w:val="001E4A6A"/>
    <w:rPr>
      <w:rFonts w:ascii="Arial" w:hAnsi="Arial"/>
      <w:sz w:val="20"/>
      <w:szCs w:val="20"/>
      <w:lang w:val="es-ES"/>
    </w:rPr>
  </w:style>
  <w:style w:type="character" w:styleId="Refdenotaalpie">
    <w:name w:val="footnote reference"/>
    <w:basedOn w:val="Fuentedeprrafopredeter"/>
    <w:uiPriority w:val="99"/>
    <w:semiHidden/>
    <w:unhideWhenUsed/>
    <w:rsid w:val="001E4A6A"/>
    <w:rPr>
      <w:vertAlign w:val="superscript"/>
    </w:rPr>
  </w:style>
  <w:style w:type="character" w:styleId="Refdecomentario">
    <w:name w:val="annotation reference"/>
    <w:basedOn w:val="Fuentedeprrafopredeter"/>
    <w:uiPriority w:val="99"/>
    <w:semiHidden/>
    <w:unhideWhenUsed/>
    <w:rsid w:val="001E4A6A"/>
    <w:rPr>
      <w:sz w:val="16"/>
      <w:szCs w:val="16"/>
    </w:rPr>
  </w:style>
  <w:style w:type="paragraph" w:customStyle="1" w:styleId="Textocomentario1">
    <w:name w:val="Texto comentario1"/>
    <w:basedOn w:val="Normal"/>
    <w:next w:val="Textocomentario"/>
    <w:link w:val="TextocomentarioCar"/>
    <w:uiPriority w:val="99"/>
    <w:unhideWhenUsed/>
    <w:rsid w:val="001E4A6A"/>
    <w:pPr>
      <w:spacing w:after="0" w:line="240" w:lineRule="auto"/>
      <w:jc w:val="both"/>
    </w:pPr>
    <w:rPr>
      <w:rFonts w:ascii="Arial" w:hAnsi="Arial"/>
      <w:sz w:val="20"/>
      <w:szCs w:val="20"/>
      <w:lang w:val="es-ES"/>
    </w:rPr>
  </w:style>
  <w:style w:type="character" w:customStyle="1" w:styleId="TextocomentarioCar">
    <w:name w:val="Texto comentario Car"/>
    <w:basedOn w:val="Fuentedeprrafopredeter"/>
    <w:link w:val="Textocomentario1"/>
    <w:uiPriority w:val="99"/>
    <w:rsid w:val="001E4A6A"/>
    <w:rPr>
      <w:rFonts w:ascii="Arial" w:hAnsi="Arial"/>
      <w:sz w:val="20"/>
      <w:szCs w:val="20"/>
      <w:lang w:val="es-ES"/>
    </w:rPr>
  </w:style>
  <w:style w:type="paragraph" w:customStyle="1" w:styleId="Asuntodelcomentario1">
    <w:name w:val="Asunto del comentario1"/>
    <w:basedOn w:val="Textocomentario"/>
    <w:next w:val="Textocomentario"/>
    <w:uiPriority w:val="99"/>
    <w:semiHidden/>
    <w:unhideWhenUsed/>
    <w:rsid w:val="001E4A6A"/>
    <w:pPr>
      <w:spacing w:after="0"/>
      <w:jc w:val="both"/>
    </w:pPr>
    <w:rPr>
      <w:rFonts w:ascii="Arial" w:hAnsi="Arial"/>
      <w:b/>
      <w:bCs/>
      <w:lang w:val="es-ES"/>
    </w:rPr>
  </w:style>
  <w:style w:type="character" w:customStyle="1" w:styleId="AsuntodelcomentarioCar">
    <w:name w:val="Asunto del comentario Car"/>
    <w:basedOn w:val="TextocomentarioCar"/>
    <w:link w:val="Asuntodelcomentario"/>
    <w:uiPriority w:val="99"/>
    <w:semiHidden/>
    <w:rsid w:val="001E4A6A"/>
    <w:rPr>
      <w:rFonts w:ascii="Arial" w:hAnsi="Arial"/>
      <w:b/>
      <w:bCs/>
      <w:sz w:val="20"/>
      <w:szCs w:val="20"/>
      <w:lang w:val="es-ES"/>
    </w:rPr>
  </w:style>
  <w:style w:type="paragraph" w:customStyle="1" w:styleId="Invias-VietaNumerada">
    <w:name w:val="Invias-Viñeta Numerada"/>
    <w:next w:val="Normal"/>
    <w:link w:val="Invias-VietaNumeradaCar"/>
    <w:uiPriority w:val="99"/>
    <w:qFormat/>
    <w:rsid w:val="001E4A6A"/>
    <w:pPr>
      <w:spacing w:before="240" w:after="120" w:line="240" w:lineRule="auto"/>
      <w:jc w:val="both"/>
    </w:pPr>
    <w:rPr>
      <w:rFonts w:ascii="Arial Narrow" w:eastAsia="Times New Roman" w:hAnsi="Arial Narrow" w:cs="Times New Roman"/>
      <w:sz w:val="24"/>
      <w:szCs w:val="24"/>
      <w:lang w:val="en-US" w:eastAsia="es-ES"/>
    </w:rPr>
  </w:style>
  <w:style w:type="character" w:customStyle="1" w:styleId="Invias-VietaNumeradaCar">
    <w:name w:val="Invias-Viñeta Numerada Car"/>
    <w:link w:val="Invias-VietaNumerada"/>
    <w:uiPriority w:val="99"/>
    <w:locked/>
    <w:rsid w:val="001E4A6A"/>
    <w:rPr>
      <w:rFonts w:ascii="Arial Narrow" w:eastAsia="Times New Roman" w:hAnsi="Arial Narrow" w:cs="Times New Roman"/>
      <w:sz w:val="24"/>
      <w:szCs w:val="24"/>
      <w:lang w:val="en-US" w:eastAsia="es-ES"/>
    </w:rPr>
  </w:style>
  <w:style w:type="character" w:styleId="Mencionar">
    <w:name w:val="Mention"/>
    <w:basedOn w:val="Fuentedeprrafopredeter"/>
    <w:uiPriority w:val="99"/>
    <w:unhideWhenUsed/>
    <w:rsid w:val="001E4A6A"/>
    <w:rPr>
      <w:color w:val="2B579A"/>
      <w:shd w:val="clear" w:color="auto" w:fill="E1DFDD"/>
    </w:rPr>
  </w:style>
  <w:style w:type="character" w:customStyle="1" w:styleId="normaltextrun">
    <w:name w:val="normaltextrun"/>
    <w:basedOn w:val="Fuentedeprrafopredeter"/>
    <w:rsid w:val="001E4A6A"/>
  </w:style>
  <w:style w:type="character" w:styleId="Mencinsinresolver">
    <w:name w:val="Unresolved Mention"/>
    <w:basedOn w:val="Fuentedeprrafopredeter"/>
    <w:uiPriority w:val="99"/>
    <w:unhideWhenUsed/>
    <w:rsid w:val="001E4A6A"/>
    <w:rPr>
      <w:color w:val="605E5C"/>
      <w:shd w:val="clear" w:color="auto" w:fill="E1DFDD"/>
    </w:rPr>
  </w:style>
  <w:style w:type="character" w:styleId="Textoennegrita">
    <w:name w:val="Strong"/>
    <w:basedOn w:val="Fuentedeprrafopredeter"/>
    <w:uiPriority w:val="22"/>
    <w:qFormat/>
    <w:rsid w:val="001E4A6A"/>
    <w:rPr>
      <w:b/>
      <w:bCs/>
    </w:rPr>
  </w:style>
  <w:style w:type="character" w:customStyle="1" w:styleId="Hipervnculo1">
    <w:name w:val="Hipervínculo1"/>
    <w:basedOn w:val="Fuentedeprrafopredeter"/>
    <w:uiPriority w:val="99"/>
    <w:unhideWhenUsed/>
    <w:rsid w:val="001E4A6A"/>
    <w:rPr>
      <w:color w:val="0563C1"/>
      <w:u w:val="single"/>
    </w:rPr>
  </w:style>
  <w:style w:type="paragraph" w:customStyle="1" w:styleId="Revisin1">
    <w:name w:val="Revisión1"/>
    <w:next w:val="Revisin"/>
    <w:hidden/>
    <w:uiPriority w:val="99"/>
    <w:semiHidden/>
    <w:rsid w:val="001E4A6A"/>
    <w:pPr>
      <w:spacing w:after="0" w:line="240" w:lineRule="auto"/>
    </w:pPr>
    <w:rPr>
      <w:rFonts w:ascii="Arial" w:hAnsi="Arial"/>
      <w:sz w:val="20"/>
      <w:lang w:val="es-ES"/>
    </w:rPr>
  </w:style>
  <w:style w:type="character" w:customStyle="1" w:styleId="Ttulo1Car1">
    <w:name w:val="Título 1 Car1"/>
    <w:basedOn w:val="Fuentedeprrafopredeter"/>
    <w:uiPriority w:val="9"/>
    <w:rsid w:val="001E4A6A"/>
    <w:rPr>
      <w:rFonts w:asciiTheme="majorHAnsi" w:eastAsiaTheme="majorEastAsia" w:hAnsiTheme="majorHAnsi" w:cstheme="majorBidi"/>
      <w:color w:val="2F5496" w:themeColor="accent1" w:themeShade="BF"/>
      <w:sz w:val="32"/>
      <w:szCs w:val="32"/>
    </w:rPr>
  </w:style>
  <w:style w:type="paragraph" w:styleId="Encabezado">
    <w:name w:val="header"/>
    <w:aliases w:val="h,h8,h9,h10,h18"/>
    <w:basedOn w:val="Normal"/>
    <w:link w:val="EncabezadoCar1"/>
    <w:uiPriority w:val="99"/>
    <w:unhideWhenUsed/>
    <w:rsid w:val="001E4A6A"/>
    <w:pPr>
      <w:tabs>
        <w:tab w:val="center" w:pos="4419"/>
        <w:tab w:val="right" w:pos="8838"/>
      </w:tabs>
      <w:spacing w:after="0" w:line="240" w:lineRule="auto"/>
    </w:pPr>
  </w:style>
  <w:style w:type="character" w:customStyle="1" w:styleId="EncabezadoCar1">
    <w:name w:val="Encabezado Car1"/>
    <w:aliases w:val="h Car1,h8 Car1,h9 Car1,h10 Car1,h18 Car1"/>
    <w:basedOn w:val="Fuentedeprrafopredeter"/>
    <w:link w:val="Encabezado"/>
    <w:uiPriority w:val="99"/>
    <w:rsid w:val="001E4A6A"/>
  </w:style>
  <w:style w:type="paragraph" w:styleId="Piedepgina">
    <w:name w:val="footer"/>
    <w:basedOn w:val="Normal"/>
    <w:link w:val="PiedepginaCar1"/>
    <w:uiPriority w:val="99"/>
    <w:unhideWhenUsed/>
    <w:rsid w:val="001E4A6A"/>
    <w:pPr>
      <w:tabs>
        <w:tab w:val="center" w:pos="4419"/>
        <w:tab w:val="right" w:pos="8838"/>
      </w:tabs>
      <w:spacing w:after="0" w:line="240" w:lineRule="auto"/>
    </w:pPr>
  </w:style>
  <w:style w:type="character" w:customStyle="1" w:styleId="PiedepginaCar1">
    <w:name w:val="Pie de página Car1"/>
    <w:basedOn w:val="Fuentedeprrafopredeter"/>
    <w:link w:val="Piedepgina"/>
    <w:uiPriority w:val="99"/>
    <w:rsid w:val="001E4A6A"/>
  </w:style>
  <w:style w:type="table" w:styleId="Tablaconcuadrculaclara">
    <w:name w:val="Grid Table Light"/>
    <w:basedOn w:val="Tablanormal"/>
    <w:uiPriority w:val="40"/>
    <w:rsid w:val="001E4A6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Car1">
    <w:name w:val="Título Car1"/>
    <w:basedOn w:val="Fuentedeprrafopredeter"/>
    <w:uiPriority w:val="10"/>
    <w:rsid w:val="001E4A6A"/>
    <w:rPr>
      <w:rFonts w:asciiTheme="majorHAnsi" w:eastAsiaTheme="majorEastAsia" w:hAnsiTheme="majorHAnsi" w:cstheme="majorBidi"/>
      <w:spacing w:val="-10"/>
      <w:kern w:val="28"/>
      <w:sz w:val="56"/>
      <w:szCs w:val="56"/>
    </w:rPr>
  </w:style>
  <w:style w:type="paragraph" w:styleId="Prrafodelista">
    <w:name w:val="List Paragraph"/>
    <w:aliases w:val="Fotografía,Bullet List,FooterText,numbered,Paragraphe de liste1,lp1,Scitum normal,HOJA,Bolita,Párrafo de lista4,BOLADEF,Párrafo de lista3,Párrafo de lista21,BOLA,Nivel 1 OS,Colorful List Accent 1,List Paragraph1,Foot,H"/>
    <w:basedOn w:val="Normal"/>
    <w:link w:val="PrrafodelistaCar"/>
    <w:uiPriority w:val="1"/>
    <w:qFormat/>
    <w:rsid w:val="001E4A6A"/>
    <w:pPr>
      <w:ind w:left="720"/>
      <w:contextualSpacing/>
    </w:pPr>
  </w:style>
  <w:style w:type="paragraph" w:styleId="Textonotapie">
    <w:name w:val="footnote text"/>
    <w:basedOn w:val="Normal"/>
    <w:link w:val="TextonotapieCar1"/>
    <w:uiPriority w:val="99"/>
    <w:semiHidden/>
    <w:unhideWhenUsed/>
    <w:rsid w:val="001E4A6A"/>
    <w:pPr>
      <w:spacing w:after="0" w:line="240" w:lineRule="auto"/>
    </w:pPr>
    <w:rPr>
      <w:sz w:val="20"/>
      <w:szCs w:val="20"/>
    </w:rPr>
  </w:style>
  <w:style w:type="character" w:customStyle="1" w:styleId="TextonotapieCar1">
    <w:name w:val="Texto nota pie Car1"/>
    <w:basedOn w:val="Fuentedeprrafopredeter"/>
    <w:link w:val="Textonotapie"/>
    <w:uiPriority w:val="99"/>
    <w:semiHidden/>
    <w:rsid w:val="001E4A6A"/>
    <w:rPr>
      <w:sz w:val="20"/>
      <w:szCs w:val="20"/>
    </w:rPr>
  </w:style>
  <w:style w:type="paragraph" w:styleId="Textocomentario">
    <w:name w:val="annotation text"/>
    <w:basedOn w:val="Normal"/>
    <w:link w:val="TextocomentarioCar1"/>
    <w:uiPriority w:val="99"/>
    <w:unhideWhenUsed/>
    <w:rsid w:val="001E4A6A"/>
    <w:pPr>
      <w:spacing w:line="240" w:lineRule="auto"/>
    </w:pPr>
    <w:rPr>
      <w:sz w:val="20"/>
      <w:szCs w:val="20"/>
    </w:rPr>
  </w:style>
  <w:style w:type="character" w:customStyle="1" w:styleId="TextocomentarioCar1">
    <w:name w:val="Texto comentario Car1"/>
    <w:basedOn w:val="Fuentedeprrafopredeter"/>
    <w:link w:val="Textocomentario"/>
    <w:uiPriority w:val="99"/>
    <w:rsid w:val="001E4A6A"/>
    <w:rPr>
      <w:sz w:val="20"/>
      <w:szCs w:val="20"/>
    </w:rPr>
  </w:style>
  <w:style w:type="paragraph" w:styleId="Asuntodelcomentario">
    <w:name w:val="annotation subject"/>
    <w:basedOn w:val="Textocomentario"/>
    <w:next w:val="Textocomentario"/>
    <w:link w:val="AsuntodelcomentarioCar"/>
    <w:uiPriority w:val="99"/>
    <w:semiHidden/>
    <w:unhideWhenUsed/>
    <w:rsid w:val="001E4A6A"/>
    <w:rPr>
      <w:rFonts w:ascii="Arial" w:hAnsi="Arial"/>
      <w:b/>
      <w:bCs/>
      <w:lang w:val="es-ES"/>
    </w:rPr>
  </w:style>
  <w:style w:type="character" w:customStyle="1" w:styleId="AsuntodelcomentarioCar1">
    <w:name w:val="Asunto del comentario Car1"/>
    <w:basedOn w:val="TextocomentarioCar1"/>
    <w:uiPriority w:val="99"/>
    <w:semiHidden/>
    <w:rsid w:val="001E4A6A"/>
    <w:rPr>
      <w:b/>
      <w:bCs/>
      <w:sz w:val="20"/>
      <w:szCs w:val="20"/>
    </w:rPr>
  </w:style>
  <w:style w:type="character" w:styleId="Hipervnculo">
    <w:name w:val="Hyperlink"/>
    <w:basedOn w:val="Fuentedeprrafopredeter"/>
    <w:uiPriority w:val="99"/>
    <w:semiHidden/>
    <w:unhideWhenUsed/>
    <w:rsid w:val="001E4A6A"/>
    <w:rPr>
      <w:color w:val="0563C1" w:themeColor="hyperlink"/>
      <w:u w:val="single"/>
    </w:rPr>
  </w:style>
  <w:style w:type="paragraph" w:styleId="Revisin">
    <w:name w:val="Revision"/>
    <w:hidden/>
    <w:uiPriority w:val="99"/>
    <w:semiHidden/>
    <w:rsid w:val="001E4A6A"/>
    <w:pPr>
      <w:spacing w:after="0" w:line="240" w:lineRule="auto"/>
    </w:pPr>
  </w:style>
  <w:style w:type="table" w:customStyle="1" w:styleId="Cuadrculadetablaclara11">
    <w:name w:val="Cuadrícula de tabla clara11"/>
    <w:basedOn w:val="Tablanormal"/>
    <w:next w:val="Tablaconcuadrculaclara"/>
    <w:uiPriority w:val="99"/>
    <w:rsid w:val="001E4A6A"/>
    <w:pPr>
      <w:spacing w:after="0" w:line="240" w:lineRule="auto"/>
    </w:pPr>
    <w:rPr>
      <w:rFonts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Sinespaciado">
    <w:name w:val="No Spacing"/>
    <w:uiPriority w:val="1"/>
    <w:qFormat/>
    <w:rsid w:val="00EC747C"/>
    <w:pPr>
      <w:spacing w:after="0" w:line="240" w:lineRule="auto"/>
    </w:pPr>
  </w:style>
  <w:style w:type="paragraph" w:styleId="NormalWeb">
    <w:name w:val="Normal (Web)"/>
    <w:basedOn w:val="Normal"/>
    <w:uiPriority w:val="99"/>
    <w:unhideWhenUsed/>
    <w:rsid w:val="004F4397"/>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PrrafodelistaCar">
    <w:name w:val="Párrafo de lista Car"/>
    <w:aliases w:val="Fotografía Car,Bullet List Car,FooterText Car,numbered Car,Paragraphe de liste1 Car,lp1 Car,Scitum normal Car,HOJA Car,Bolita Car,Párrafo de lista4 Car,BOLADEF Car,Párrafo de lista3 Car,Párrafo de lista21 Car,BOLA Car,Nivel 1 OS Car"/>
    <w:link w:val="Prrafodelista"/>
    <w:uiPriority w:val="1"/>
    <w:qFormat/>
    <w:rsid w:val="00532FB9"/>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NqiXS+NQCp4e1banpmE9Ifi4Ow==">CgMxLjA4AHIhMWtMZHo5N2V1RVpMTlpqZkdTVzhjS1VIa0F2ekxsRnd6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11037</Words>
  <Characters>60704</Characters>
  <Application>Microsoft Office Word</Application>
  <DocSecurity>0</DocSecurity>
  <Lines>505</Lines>
  <Paragraphs>143</Paragraphs>
  <ScaleCrop>false</ScaleCrop>
  <Company/>
  <LinksUpToDate>false</LinksUpToDate>
  <CharactersWithSpaces>71598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 Milena Nuñez Aldana</dc:creator>
  <cp:lastModifiedBy>Andrea Giselle Ariza Rodriguez</cp:lastModifiedBy>
  <cp:revision>2</cp:revision>
  <dcterms:created xsi:type="dcterms:W3CDTF">2022-11-18T16:57:00Z</dcterms:created>
  <dcterms:modified xsi:type="dcterms:W3CDTF">2025-11-21T03:40:00Z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ies>
</file>